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BEFB18" w14:textId="77777777" w:rsidR="00E07582" w:rsidRDefault="00E07582" w:rsidP="00CC09CB">
      <w:pPr>
        <w:tabs>
          <w:tab w:val="center" w:pos="4536"/>
          <w:tab w:val="right" w:pos="8280"/>
          <w:tab w:val="right" w:pos="9639"/>
        </w:tabs>
        <w:ind w:right="2"/>
        <w:rPr>
          <w:b/>
          <w:lang w:eastAsia="zh-CN"/>
        </w:rPr>
      </w:pPr>
    </w:p>
    <w:p w14:paraId="5DDE9A74" w14:textId="339BF53A" w:rsidR="00CC09CB" w:rsidRPr="0052548E" w:rsidRDefault="005D6354" w:rsidP="00CC09CB">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allowOverlap="1" wp14:anchorId="7157E758" wp14:editId="54531A9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82733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C09CB" w:rsidRPr="0052548E">
        <w:rPr>
          <w:rFonts w:ascii="Arial" w:hAnsi="Arial" w:cs="Arial"/>
          <w:b/>
          <w:bCs/>
          <w:sz w:val="28"/>
        </w:rPr>
        <w:t>3GPP TSG RAN WG1 Meeting</w:t>
      </w:r>
      <w:r w:rsidR="00CC09CB">
        <w:rPr>
          <w:rFonts w:ascii="Arial" w:hAnsi="Arial" w:cs="Arial"/>
          <w:b/>
          <w:bCs/>
          <w:sz w:val="28"/>
        </w:rPr>
        <w:t xml:space="preserve"> 91 </w:t>
      </w:r>
      <w:r w:rsidR="00CC09CB" w:rsidRPr="0052548E">
        <w:rPr>
          <w:rFonts w:ascii="Arial" w:hAnsi="Arial" w:cs="Arial"/>
          <w:b/>
          <w:bCs/>
          <w:sz w:val="28"/>
        </w:rPr>
        <w:t xml:space="preserve"> </w:t>
      </w:r>
      <w:r w:rsidR="00CC09CB">
        <w:rPr>
          <w:rFonts w:ascii="Arial" w:eastAsia="MS Mincho" w:hAnsi="Arial" w:cs="Arial"/>
          <w:b/>
          <w:bCs/>
          <w:sz w:val="28"/>
          <w:lang w:eastAsia="ja-JP"/>
        </w:rPr>
        <w:tab/>
      </w:r>
      <w:r w:rsidR="00CC09CB">
        <w:rPr>
          <w:rFonts w:ascii="Arial" w:hAnsi="Arial" w:cs="Arial"/>
          <w:b/>
          <w:bCs/>
          <w:sz w:val="28"/>
        </w:rPr>
        <w:tab/>
        <w:t xml:space="preserve">                                         R1-1</w:t>
      </w:r>
      <w:r w:rsidR="005B3DC5">
        <w:rPr>
          <w:rFonts w:ascii="Arial" w:eastAsia="MS Mincho" w:hAnsi="Arial" w:cs="Arial"/>
          <w:b/>
          <w:bCs/>
          <w:sz w:val="28"/>
          <w:lang w:eastAsia="ja-JP"/>
        </w:rPr>
        <w:t>720773</w:t>
      </w:r>
    </w:p>
    <w:p w14:paraId="3FD82E48" w14:textId="77777777" w:rsidR="00CC09CB" w:rsidRPr="009513AC" w:rsidRDefault="00CC09CB" w:rsidP="00CC09C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p>
    <w:p w14:paraId="79098AEE" w14:textId="3C8538BE" w:rsidR="00590CF6" w:rsidRPr="002141D9" w:rsidRDefault="00590CF6" w:rsidP="00CC09CB">
      <w:pPr>
        <w:tabs>
          <w:tab w:val="center" w:pos="4536"/>
          <w:tab w:val="right" w:pos="8280"/>
          <w:tab w:val="right" w:pos="9639"/>
        </w:tabs>
        <w:ind w:right="2"/>
        <w:rPr>
          <w:rFonts w:ascii="Arial" w:eastAsia="Batang" w:hAnsi="Arial"/>
          <w:b/>
          <w:sz w:val="18"/>
          <w:szCs w:val="20"/>
          <w:lang w:val="en-GB"/>
        </w:rPr>
      </w:pPr>
    </w:p>
    <w:p w14:paraId="7E23BD73" w14:textId="77777777" w:rsidR="00590CF6" w:rsidRPr="002141D9" w:rsidRDefault="00590CF6" w:rsidP="00590CF6">
      <w:pPr>
        <w:autoSpaceDE/>
        <w:autoSpaceDN/>
        <w:adjustRightInd/>
        <w:snapToGrid/>
        <w:spacing w:after="0"/>
        <w:ind w:left="1440" w:hanging="1440"/>
        <w:jc w:val="left"/>
        <w:rPr>
          <w:rFonts w:ascii="Times" w:eastAsia="Batang" w:hAnsi="Times"/>
          <w:sz w:val="20"/>
          <w:szCs w:val="20"/>
          <w:lang w:val="en-GB"/>
        </w:rPr>
      </w:pPr>
    </w:p>
    <w:p w14:paraId="3C27E1AF" w14:textId="77777777" w:rsidR="00590CF6" w:rsidRPr="008559C6" w:rsidRDefault="00590CF6" w:rsidP="00590CF6">
      <w:pPr>
        <w:pStyle w:val="TdocHeader2"/>
        <w:spacing w:after="60"/>
        <w:jc w:val="left"/>
        <w:rPr>
          <w:sz w:val="20"/>
        </w:rPr>
      </w:pPr>
      <w:r w:rsidRPr="00183562">
        <w:rPr>
          <w:sz w:val="20"/>
        </w:rPr>
        <w:t>Source:</w:t>
      </w:r>
      <w:r w:rsidRPr="00183562">
        <w:rPr>
          <w:sz w:val="20"/>
        </w:rPr>
        <w:tab/>
      </w:r>
      <w:r w:rsidRPr="008559C6">
        <w:rPr>
          <w:sz w:val="20"/>
        </w:rPr>
        <w:t>Xiaomi</w:t>
      </w:r>
    </w:p>
    <w:p w14:paraId="6109C89E" w14:textId="16C8CBD0" w:rsidR="00590CF6" w:rsidRPr="008559C6" w:rsidRDefault="00590CF6" w:rsidP="00590CF6">
      <w:pPr>
        <w:pStyle w:val="TdocHeader2"/>
        <w:spacing w:after="60"/>
        <w:jc w:val="left"/>
        <w:rPr>
          <w:sz w:val="20"/>
        </w:rPr>
      </w:pPr>
      <w:r w:rsidRPr="00183562">
        <w:rPr>
          <w:sz w:val="20"/>
        </w:rPr>
        <w:t xml:space="preserve">Title: </w:t>
      </w:r>
      <w:r w:rsidRPr="00183562">
        <w:rPr>
          <w:sz w:val="20"/>
        </w:rPr>
        <w:tab/>
      </w:r>
      <w:r w:rsidR="00CC09CB">
        <w:rPr>
          <w:sz w:val="20"/>
        </w:rPr>
        <w:t>O</w:t>
      </w:r>
      <w:r w:rsidRPr="008559C6">
        <w:rPr>
          <w:sz w:val="20"/>
        </w:rPr>
        <w:t xml:space="preserve">n </w:t>
      </w:r>
      <w:r w:rsidR="00517B2A">
        <w:rPr>
          <w:sz w:val="20"/>
        </w:rPr>
        <w:t xml:space="preserve">the </w:t>
      </w:r>
      <w:r w:rsidR="00BA1CC9" w:rsidRPr="00BA1CC9">
        <w:rPr>
          <w:rFonts w:hint="eastAsia"/>
          <w:sz w:val="20"/>
        </w:rPr>
        <w:t>remaining</w:t>
      </w:r>
      <w:r w:rsidR="00BA1CC9">
        <w:rPr>
          <w:sz w:val="20"/>
        </w:rPr>
        <w:t xml:space="preserve"> issues</w:t>
      </w:r>
      <w:r w:rsidR="00EF0625">
        <w:rPr>
          <w:sz w:val="20"/>
        </w:rPr>
        <w:t xml:space="preserve"> </w:t>
      </w:r>
      <w:r w:rsidR="00517B2A">
        <w:rPr>
          <w:sz w:val="20"/>
        </w:rPr>
        <w:t>of group common PDCCH</w:t>
      </w:r>
    </w:p>
    <w:p w14:paraId="4F6251A1" w14:textId="0FCF4E78" w:rsidR="00590CF6" w:rsidRPr="008559C6" w:rsidRDefault="00590CF6" w:rsidP="00590CF6">
      <w:pPr>
        <w:pStyle w:val="TdocHeader2"/>
        <w:spacing w:after="60"/>
        <w:jc w:val="left"/>
        <w:rPr>
          <w:sz w:val="20"/>
        </w:rPr>
      </w:pPr>
      <w:r w:rsidRPr="008559C6">
        <w:rPr>
          <w:sz w:val="20"/>
        </w:rPr>
        <w:t>Agenda Item:</w:t>
      </w:r>
      <w:r w:rsidRPr="008559C6">
        <w:rPr>
          <w:sz w:val="20"/>
        </w:rPr>
        <w:tab/>
      </w:r>
      <w:r w:rsidR="007C3E25">
        <w:rPr>
          <w:sz w:val="20"/>
        </w:rPr>
        <w:t>7.3.1.3</w:t>
      </w:r>
    </w:p>
    <w:p w14:paraId="09E26D7A" w14:textId="77777777" w:rsidR="00590CF6" w:rsidRPr="008559C6" w:rsidRDefault="00590CF6" w:rsidP="00590CF6">
      <w:pPr>
        <w:pStyle w:val="TdocHeader2"/>
        <w:spacing w:after="60"/>
        <w:jc w:val="left"/>
        <w:rPr>
          <w:sz w:val="20"/>
        </w:rPr>
      </w:pPr>
      <w:r w:rsidRPr="00183562">
        <w:rPr>
          <w:sz w:val="20"/>
        </w:rPr>
        <w:t>Document for:</w:t>
      </w:r>
      <w:r w:rsidRPr="00183562">
        <w:rPr>
          <w:sz w:val="20"/>
        </w:rPr>
        <w:tab/>
      </w:r>
      <w:r w:rsidRPr="008559C6">
        <w:rPr>
          <w:sz w:val="20"/>
        </w:rPr>
        <w:t>Discussion</w:t>
      </w:r>
    </w:p>
    <w:p w14:paraId="5330FC74" w14:textId="66C9ADCC" w:rsidR="008559C6" w:rsidRPr="008559C6" w:rsidRDefault="008559C6" w:rsidP="00590CF6">
      <w:pPr>
        <w:tabs>
          <w:tab w:val="center" w:pos="4536"/>
          <w:tab w:val="right" w:pos="8280"/>
          <w:tab w:val="right" w:pos="9781"/>
        </w:tabs>
        <w:ind w:right="-58"/>
        <w:rPr>
          <w:rFonts w:ascii="Arial" w:eastAsia="Batang" w:hAnsi="Arial"/>
          <w:b/>
          <w:sz w:val="18"/>
          <w:szCs w:val="20"/>
          <w:lang w:val="en-GB"/>
        </w:rPr>
      </w:pPr>
    </w:p>
    <w:p w14:paraId="721732E5" w14:textId="653B66B6" w:rsidR="005D6354" w:rsidRPr="00447E0C" w:rsidRDefault="005D6354" w:rsidP="002141D9">
      <w:pPr>
        <w:tabs>
          <w:tab w:val="right" w:pos="9216"/>
        </w:tabs>
        <w:spacing w:after="0"/>
        <w:jc w:val="left"/>
        <w:rPr>
          <w:b/>
          <w:sz w:val="16"/>
          <w:szCs w:val="16"/>
        </w:rPr>
      </w:pPr>
    </w:p>
    <w:p w14:paraId="7F085CBF" w14:textId="77777777" w:rsidR="005D6354" w:rsidRDefault="005D6354" w:rsidP="005D6354">
      <w:pPr>
        <w:pStyle w:val="1"/>
        <w:rPr>
          <w:lang w:eastAsia="zh-CN"/>
        </w:rPr>
      </w:pPr>
      <w:r>
        <w:rPr>
          <w:lang w:eastAsia="zh-CN"/>
        </w:rPr>
        <w:t>Introduction</w:t>
      </w:r>
    </w:p>
    <w:p w14:paraId="2677A4E3" w14:textId="79CFD551" w:rsidR="00CC09CB" w:rsidRPr="004862DD" w:rsidRDefault="00CC09CB" w:rsidP="00F75453">
      <w:pPr>
        <w:widowControl w:val="0"/>
        <w:spacing w:before="120"/>
        <w:rPr>
          <w:lang w:eastAsia="zh-CN"/>
        </w:rPr>
      </w:pPr>
      <w:r w:rsidRPr="004862DD">
        <w:rPr>
          <w:lang w:eastAsia="zh-CN"/>
        </w:rPr>
        <w:t>I</w:t>
      </w:r>
      <w:r w:rsidRPr="004862DD">
        <w:rPr>
          <w:rFonts w:hint="eastAsia"/>
          <w:lang w:eastAsia="zh-CN"/>
        </w:rPr>
        <w:t xml:space="preserve">n </w:t>
      </w:r>
      <w:r w:rsidRPr="004862DD">
        <w:rPr>
          <w:lang w:eastAsia="zh-CN"/>
        </w:rPr>
        <w:t>the 3GPP RAN1#90bis meeting, the following agreements were made on group common PDCCH for slot format indication [1].</w:t>
      </w:r>
    </w:p>
    <w:p w14:paraId="05EC05A1" w14:textId="77777777" w:rsidR="00CC09CB" w:rsidRPr="004862DD" w:rsidRDefault="00CC09CB" w:rsidP="00CC09CB">
      <w:pPr>
        <w:rPr>
          <w:lang w:eastAsia="x-none"/>
        </w:rPr>
      </w:pPr>
      <w:r w:rsidRPr="004862DD">
        <w:rPr>
          <w:highlight w:val="green"/>
          <w:lang w:eastAsia="x-none"/>
        </w:rPr>
        <w:t>Agreements</w:t>
      </w:r>
      <w:r w:rsidRPr="004862DD">
        <w:rPr>
          <w:lang w:eastAsia="x-none"/>
        </w:rPr>
        <w:t>:</w:t>
      </w:r>
    </w:p>
    <w:p w14:paraId="4AA0B419" w14:textId="77777777" w:rsidR="00CC09CB" w:rsidRPr="004862DD" w:rsidRDefault="00CC09CB" w:rsidP="00CC09CB">
      <w:pPr>
        <w:numPr>
          <w:ilvl w:val="0"/>
          <w:numId w:val="19"/>
        </w:numPr>
        <w:autoSpaceDE/>
        <w:autoSpaceDN/>
        <w:adjustRightInd/>
        <w:snapToGrid/>
        <w:spacing w:after="0"/>
        <w:jc w:val="left"/>
      </w:pPr>
      <w:r w:rsidRPr="004862DD">
        <w:t>For GC-PDCCH monitoring, confirm the working assumption</w:t>
      </w:r>
    </w:p>
    <w:p w14:paraId="122A0F48" w14:textId="77777777" w:rsidR="00CC09CB" w:rsidRPr="004862DD" w:rsidRDefault="00CC09CB" w:rsidP="00CC09CB">
      <w:pPr>
        <w:numPr>
          <w:ilvl w:val="1"/>
          <w:numId w:val="19"/>
        </w:numPr>
        <w:autoSpaceDE/>
        <w:autoSpaceDN/>
        <w:adjustRightInd/>
        <w:snapToGrid/>
        <w:spacing w:after="0"/>
        <w:jc w:val="left"/>
      </w:pPr>
      <w:r w:rsidRPr="004862DD">
        <w:t xml:space="preserve">UE can be configured to monitor SFI in group common PDCCH for a Scell on a different cell </w:t>
      </w:r>
    </w:p>
    <w:p w14:paraId="7298FBB8" w14:textId="77777777" w:rsidR="00CC09CB" w:rsidRPr="004862DD" w:rsidRDefault="00CC09CB" w:rsidP="00CC09CB">
      <w:r w:rsidRPr="004862DD">
        <w:rPr>
          <w:highlight w:val="green"/>
        </w:rPr>
        <w:t>Agreements</w:t>
      </w:r>
      <w:r w:rsidRPr="004862DD">
        <w:t>:</w:t>
      </w:r>
    </w:p>
    <w:p w14:paraId="71FDB561" w14:textId="77777777" w:rsidR="00CC09CB" w:rsidRPr="004862DD" w:rsidRDefault="00CC09CB" w:rsidP="00CC09CB">
      <w:pPr>
        <w:numPr>
          <w:ilvl w:val="0"/>
          <w:numId w:val="18"/>
        </w:numPr>
        <w:overflowPunct w:val="0"/>
        <w:snapToGrid/>
        <w:spacing w:after="0"/>
        <w:jc w:val="left"/>
        <w:textAlignment w:val="baseline"/>
      </w:pPr>
      <w:r w:rsidRPr="004862DD">
        <w:t>For cross cell GC-PDCCH monitoring, support by RRC configuration for a UE the following:</w:t>
      </w:r>
    </w:p>
    <w:p w14:paraId="2D244E0A" w14:textId="77777777" w:rsidR="00CC09CB" w:rsidRPr="004862DD" w:rsidRDefault="00CC09CB" w:rsidP="00CC09CB">
      <w:pPr>
        <w:numPr>
          <w:ilvl w:val="1"/>
          <w:numId w:val="18"/>
        </w:numPr>
        <w:overflowPunct w:val="0"/>
        <w:snapToGrid/>
        <w:spacing w:after="0"/>
        <w:jc w:val="left"/>
        <w:textAlignment w:val="baseline"/>
      </w:pPr>
      <w:r w:rsidRPr="004862DD">
        <w:t>The same SFI can be applicable to more than one cell</w:t>
      </w:r>
    </w:p>
    <w:p w14:paraId="64D29C97" w14:textId="77777777" w:rsidR="00CC09CB" w:rsidRPr="004862DD" w:rsidRDefault="00CC09CB" w:rsidP="00CC09CB">
      <w:pPr>
        <w:numPr>
          <w:ilvl w:val="1"/>
          <w:numId w:val="18"/>
        </w:numPr>
        <w:overflowPunct w:val="0"/>
        <w:snapToGrid/>
        <w:spacing w:after="0"/>
        <w:jc w:val="left"/>
        <w:textAlignment w:val="baseline"/>
      </w:pPr>
      <w:r w:rsidRPr="004862DD">
        <w:t>Different SFI fields in one GC-PDCCH can be applied to different cells</w:t>
      </w:r>
    </w:p>
    <w:p w14:paraId="7ECE2737" w14:textId="77777777" w:rsidR="00CC09CB" w:rsidRPr="004862DD" w:rsidRDefault="00CC09CB" w:rsidP="00CC09CB">
      <w:pPr>
        <w:numPr>
          <w:ilvl w:val="1"/>
          <w:numId w:val="18"/>
        </w:numPr>
        <w:overflowPunct w:val="0"/>
        <w:snapToGrid/>
        <w:spacing w:after="0"/>
        <w:jc w:val="left"/>
        <w:textAlignment w:val="baseline"/>
      </w:pPr>
      <w:r w:rsidRPr="004862DD">
        <w:t>FFS interaction with multiple BWP configuration per cell</w:t>
      </w:r>
    </w:p>
    <w:p w14:paraId="45C36B6E" w14:textId="77777777" w:rsidR="00CC09CB" w:rsidRPr="004862DD" w:rsidRDefault="00CC09CB" w:rsidP="00CC09CB">
      <w:pPr>
        <w:rPr>
          <w:lang w:eastAsia="x-none"/>
        </w:rPr>
      </w:pPr>
    </w:p>
    <w:p w14:paraId="74FD3DF0" w14:textId="77777777" w:rsidR="00CC09CB" w:rsidRPr="004862DD" w:rsidRDefault="00CC09CB" w:rsidP="00CC09CB">
      <w:pPr>
        <w:rPr>
          <w:lang w:eastAsia="x-none"/>
        </w:rPr>
      </w:pPr>
      <w:r w:rsidRPr="004862DD">
        <w:rPr>
          <w:highlight w:val="green"/>
          <w:lang w:eastAsia="x-none"/>
        </w:rPr>
        <w:t>Agreements</w:t>
      </w:r>
      <w:r w:rsidRPr="004862DD">
        <w:rPr>
          <w:lang w:eastAsia="x-none"/>
        </w:rPr>
        <w:t>:</w:t>
      </w:r>
    </w:p>
    <w:p w14:paraId="323E1E5E" w14:textId="77777777" w:rsidR="00CC09CB" w:rsidRPr="004862DD" w:rsidRDefault="00CC09CB" w:rsidP="00CC09CB">
      <w:pPr>
        <w:pStyle w:val="bullet"/>
        <w:rPr>
          <w:sz w:val="22"/>
          <w:szCs w:val="22"/>
        </w:rPr>
      </w:pPr>
      <w:r w:rsidRPr="004862DD">
        <w:rPr>
          <w:sz w:val="22"/>
          <w:szCs w:val="22"/>
        </w:rPr>
        <w:t>The UE is not expected to have conflict on link (DL or UL) direction between that of dynamic SFI and that of UE specific data (UE specific DCI triggered PDSCH, PUSCH (grant-based), and PUCCH with A/N for a PDSCH) in Rel-15</w:t>
      </w:r>
    </w:p>
    <w:p w14:paraId="141FD17F" w14:textId="77777777" w:rsidR="00CC09CB" w:rsidRPr="004862DD" w:rsidRDefault="00CC09CB" w:rsidP="00CC09CB">
      <w:pPr>
        <w:pStyle w:val="bullet"/>
        <w:numPr>
          <w:ilvl w:val="1"/>
          <w:numId w:val="17"/>
        </w:numPr>
        <w:rPr>
          <w:sz w:val="22"/>
          <w:szCs w:val="22"/>
        </w:rPr>
      </w:pPr>
      <w:r w:rsidRPr="004862DD">
        <w:rPr>
          <w:sz w:val="22"/>
          <w:szCs w:val="22"/>
        </w:rPr>
        <w:t>Note: a link direction denoted as “unknown” in dynamic SFI is not deemed as in conflict with DL or UL</w:t>
      </w:r>
    </w:p>
    <w:p w14:paraId="23B4A458" w14:textId="77777777" w:rsidR="00CC09CB" w:rsidRPr="004862DD" w:rsidRDefault="00CC09CB" w:rsidP="00CC09CB">
      <w:pPr>
        <w:rPr>
          <w:lang w:eastAsia="x-none"/>
        </w:rPr>
      </w:pPr>
      <w:r w:rsidRPr="004862DD">
        <w:rPr>
          <w:highlight w:val="green"/>
          <w:lang w:eastAsia="x-none"/>
        </w:rPr>
        <w:t>Agreements</w:t>
      </w:r>
      <w:r w:rsidRPr="004862DD">
        <w:rPr>
          <w:lang w:eastAsia="x-none"/>
        </w:rPr>
        <w:t>:</w:t>
      </w:r>
    </w:p>
    <w:p w14:paraId="64118814" w14:textId="77777777" w:rsidR="00CC09CB" w:rsidRPr="004862DD" w:rsidRDefault="00CC09CB" w:rsidP="00CC09CB">
      <w:pPr>
        <w:pStyle w:val="bullet"/>
        <w:numPr>
          <w:ilvl w:val="0"/>
          <w:numId w:val="20"/>
        </w:numPr>
        <w:rPr>
          <w:sz w:val="22"/>
          <w:szCs w:val="22"/>
        </w:rPr>
      </w:pPr>
      <w:r w:rsidRPr="004862DD">
        <w:rPr>
          <w:sz w:val="22"/>
          <w:szCs w:val="22"/>
        </w:rPr>
        <w:t xml:space="preserve">The single slot format table supports up to two D/U switching points per slot </w:t>
      </w:r>
    </w:p>
    <w:p w14:paraId="0F9E4561" w14:textId="77777777" w:rsidR="00CC09CB" w:rsidRPr="004862DD" w:rsidRDefault="00CC09CB" w:rsidP="00CC09CB">
      <w:pPr>
        <w:pStyle w:val="bullet"/>
        <w:numPr>
          <w:ilvl w:val="1"/>
          <w:numId w:val="20"/>
        </w:numPr>
        <w:rPr>
          <w:sz w:val="22"/>
          <w:szCs w:val="22"/>
        </w:rPr>
      </w:pPr>
      <w:r w:rsidRPr="004862DD">
        <w:rPr>
          <w:sz w:val="22"/>
          <w:szCs w:val="22"/>
        </w:rPr>
        <w:t>Zero switching point: 14 DL symbols, or 14 unknown symbols, or 14 UL symbols.</w:t>
      </w:r>
    </w:p>
    <w:p w14:paraId="45D8531C" w14:textId="77777777" w:rsidR="00CC09CB" w:rsidRPr="004862DD" w:rsidRDefault="00CC09CB" w:rsidP="00CC09CB">
      <w:pPr>
        <w:pStyle w:val="bullet"/>
        <w:numPr>
          <w:ilvl w:val="1"/>
          <w:numId w:val="20"/>
        </w:numPr>
        <w:rPr>
          <w:sz w:val="22"/>
          <w:szCs w:val="22"/>
        </w:rPr>
      </w:pPr>
      <w:r w:rsidRPr="004862DD">
        <w:rPr>
          <w:sz w:val="22"/>
          <w:szCs w:val="22"/>
        </w:rPr>
        <w:t>One D/U switching point of all combinations: Start with zero or more DL symbols, end with zero or more UL symbols, and with unknown symbols in between, where there is at least one unknown symbol and one DL or UL symbol.</w:t>
      </w:r>
    </w:p>
    <w:p w14:paraId="16F92DD8" w14:textId="77777777" w:rsidR="00CC09CB" w:rsidRPr="004862DD" w:rsidRDefault="00CC09CB" w:rsidP="00CC09CB">
      <w:pPr>
        <w:pStyle w:val="bullet"/>
        <w:numPr>
          <w:ilvl w:val="1"/>
          <w:numId w:val="20"/>
        </w:numPr>
        <w:rPr>
          <w:sz w:val="22"/>
          <w:szCs w:val="22"/>
        </w:rPr>
      </w:pPr>
      <w:r w:rsidRPr="004862DD">
        <w:rPr>
          <w:sz w:val="22"/>
          <w:szCs w:val="22"/>
        </w:rPr>
        <w:t xml:space="preserve">Two D/U switching points within a slot: The first 7 symbols start with zero or more DL symbols, ends with at least one UL symbol at symbol #6 with zero or more unknown symbols in between. The second 7 symbols starts with one or more DL symbols and ends with zero or more UL symbols with zero or more unknown symbols in the middle. </w:t>
      </w:r>
    </w:p>
    <w:p w14:paraId="706074AF" w14:textId="77777777" w:rsidR="00CC09CB" w:rsidRPr="004862DD" w:rsidRDefault="00CC09CB" w:rsidP="00CC09CB">
      <w:pPr>
        <w:pStyle w:val="bullet"/>
        <w:numPr>
          <w:ilvl w:val="1"/>
          <w:numId w:val="20"/>
        </w:numPr>
        <w:rPr>
          <w:sz w:val="22"/>
          <w:szCs w:val="22"/>
        </w:rPr>
      </w:pPr>
      <w:r w:rsidRPr="004862DD">
        <w:rPr>
          <w:sz w:val="22"/>
          <w:szCs w:val="22"/>
        </w:rPr>
        <w:t>Note: This single slot slot format table will be captured in RAN1 spec. In Rel.15, RAN1will specify up to X&lt;[256] entries, but the RRC signaling need to consider future compatibility with more entries and from RAN1 perspective, a total of [256] entries in the RRC signalling is necessary (with only X entries specified in Rel-15 in RAN1)</w:t>
      </w:r>
    </w:p>
    <w:p w14:paraId="3F6946C6" w14:textId="77777777" w:rsidR="00CC09CB" w:rsidRPr="004862DD" w:rsidRDefault="00CC09CB" w:rsidP="00CC09CB">
      <w:pPr>
        <w:rPr>
          <w:lang w:eastAsia="x-none"/>
        </w:rPr>
      </w:pPr>
    </w:p>
    <w:p w14:paraId="44CCF4AB" w14:textId="77777777" w:rsidR="00CC09CB" w:rsidRPr="004862DD" w:rsidRDefault="00CC09CB" w:rsidP="00CC09CB">
      <w:pPr>
        <w:rPr>
          <w:highlight w:val="green"/>
          <w:lang w:eastAsia="x-none"/>
        </w:rPr>
      </w:pPr>
      <w:r w:rsidRPr="004862DD">
        <w:rPr>
          <w:highlight w:val="green"/>
          <w:lang w:eastAsia="x-none"/>
        </w:rPr>
        <w:t>Agreements:</w:t>
      </w:r>
    </w:p>
    <w:p w14:paraId="05D31CB1" w14:textId="77777777" w:rsidR="00CC09CB" w:rsidRPr="004862DD" w:rsidRDefault="00CC09CB" w:rsidP="00CC09CB">
      <w:pPr>
        <w:numPr>
          <w:ilvl w:val="0"/>
          <w:numId w:val="21"/>
        </w:numPr>
        <w:autoSpaceDE/>
        <w:autoSpaceDN/>
        <w:adjustRightInd/>
        <w:snapToGrid/>
        <w:spacing w:after="0"/>
        <w:jc w:val="left"/>
      </w:pPr>
      <w:r w:rsidRPr="004862DD">
        <w:lastRenderedPageBreak/>
        <w:t>gNB configures a per serving cell GC-PDCCH (for dynamic SFI) monitoring periodicity of K slots (based on GC-PDCCH numerology), up to 8 choices</w:t>
      </w:r>
    </w:p>
    <w:p w14:paraId="0F005A3E" w14:textId="77777777" w:rsidR="00CC09CB" w:rsidRPr="004862DD" w:rsidRDefault="00CC09CB" w:rsidP="00CC09CB">
      <w:pPr>
        <w:numPr>
          <w:ilvl w:val="1"/>
          <w:numId w:val="21"/>
        </w:numPr>
        <w:autoSpaceDE/>
        <w:autoSpaceDN/>
        <w:adjustRightInd/>
        <w:snapToGrid/>
        <w:spacing w:after="0"/>
        <w:jc w:val="left"/>
      </w:pPr>
      <w:r w:rsidRPr="004862DD">
        <w:t>K = 1, 2, 5, 10, 20</w:t>
      </w:r>
    </w:p>
    <w:p w14:paraId="1B92A8E2" w14:textId="77777777" w:rsidR="00CC09CB" w:rsidRPr="004862DD" w:rsidRDefault="00CC09CB" w:rsidP="00CC09CB">
      <w:pPr>
        <w:numPr>
          <w:ilvl w:val="2"/>
          <w:numId w:val="21"/>
        </w:numPr>
        <w:autoSpaceDE/>
        <w:autoSpaceDN/>
        <w:adjustRightInd/>
        <w:snapToGrid/>
        <w:spacing w:after="0"/>
        <w:jc w:val="left"/>
      </w:pPr>
      <w:r w:rsidRPr="004862DD">
        <w:t>FFS other values</w:t>
      </w:r>
    </w:p>
    <w:p w14:paraId="6465ADF5" w14:textId="77777777" w:rsidR="00CC09CB" w:rsidRPr="004862DD" w:rsidRDefault="00CC09CB" w:rsidP="00CC09CB">
      <w:pPr>
        <w:overflowPunct w:val="0"/>
        <w:textAlignment w:val="baseline"/>
        <w:rPr>
          <w:highlight w:val="green"/>
        </w:rPr>
      </w:pPr>
      <w:r w:rsidRPr="004862DD">
        <w:rPr>
          <w:highlight w:val="green"/>
        </w:rPr>
        <w:t>Agreements:</w:t>
      </w:r>
    </w:p>
    <w:p w14:paraId="2BCF7143" w14:textId="77777777" w:rsidR="00CC09CB" w:rsidRPr="004862DD" w:rsidRDefault="00CC09CB" w:rsidP="00CC09CB">
      <w:pPr>
        <w:pStyle w:val="bullet"/>
        <w:rPr>
          <w:sz w:val="22"/>
          <w:szCs w:val="22"/>
        </w:rPr>
      </w:pPr>
      <w:r w:rsidRPr="004862DD">
        <w:rPr>
          <w:sz w:val="22"/>
          <w:szCs w:val="22"/>
        </w:rPr>
        <w:t>For the UE specific single-slot/multi-slotset SFI table configuration</w:t>
      </w:r>
    </w:p>
    <w:p w14:paraId="5038E856" w14:textId="77777777" w:rsidR="00CC09CB" w:rsidRPr="004862DD" w:rsidRDefault="00CC09CB" w:rsidP="00CC09CB">
      <w:pPr>
        <w:pStyle w:val="bullet"/>
        <w:numPr>
          <w:ilvl w:val="1"/>
          <w:numId w:val="17"/>
        </w:numPr>
        <w:rPr>
          <w:sz w:val="22"/>
          <w:szCs w:val="22"/>
        </w:rPr>
      </w:pPr>
      <w:r w:rsidRPr="004862DD">
        <w:rPr>
          <w:sz w:val="22"/>
          <w:szCs w:val="22"/>
        </w:rPr>
        <w:t xml:space="preserve">Each entry of the table indicates a sequence of configured single-slot slot formats </w:t>
      </w:r>
    </w:p>
    <w:p w14:paraId="323612A5" w14:textId="77777777" w:rsidR="00CC09CB" w:rsidRPr="004862DD" w:rsidRDefault="00CC09CB" w:rsidP="00CC09CB">
      <w:pPr>
        <w:pStyle w:val="bullet"/>
        <w:numPr>
          <w:ilvl w:val="2"/>
          <w:numId w:val="17"/>
        </w:numPr>
        <w:rPr>
          <w:sz w:val="22"/>
          <w:szCs w:val="22"/>
        </w:rPr>
      </w:pPr>
      <w:r w:rsidRPr="004862DD">
        <w:rPr>
          <w:sz w:val="22"/>
          <w:szCs w:val="22"/>
        </w:rPr>
        <w:t>Note if the sequence length is 1, the entry is a single-slot slot format</w:t>
      </w:r>
    </w:p>
    <w:p w14:paraId="5F7610E4" w14:textId="77777777" w:rsidR="00CC09CB" w:rsidRPr="004862DD" w:rsidRDefault="00CC09CB" w:rsidP="00CC09CB">
      <w:pPr>
        <w:pStyle w:val="bullet"/>
        <w:numPr>
          <w:ilvl w:val="2"/>
          <w:numId w:val="17"/>
        </w:numPr>
        <w:rPr>
          <w:sz w:val="22"/>
          <w:szCs w:val="22"/>
        </w:rPr>
      </w:pPr>
      <w:r w:rsidRPr="004862DD">
        <w:rPr>
          <w:sz w:val="22"/>
          <w:szCs w:val="22"/>
        </w:rPr>
        <w:t>Note if the sequence length is more than one, the entry is a multi-slot slot format</w:t>
      </w:r>
    </w:p>
    <w:p w14:paraId="4F72E992" w14:textId="77777777" w:rsidR="00CC09CB" w:rsidRPr="004862DD" w:rsidRDefault="00CC09CB" w:rsidP="00CC09CB">
      <w:pPr>
        <w:pStyle w:val="bullet"/>
        <w:numPr>
          <w:ilvl w:val="2"/>
          <w:numId w:val="17"/>
        </w:numPr>
        <w:rPr>
          <w:sz w:val="22"/>
          <w:szCs w:val="22"/>
        </w:rPr>
      </w:pPr>
      <w:r w:rsidRPr="004862DD">
        <w:rPr>
          <w:sz w:val="22"/>
          <w:szCs w:val="22"/>
        </w:rPr>
        <w:t>Note that it is possible all the slots in a multi-slot slot-format can have the same slot format</w:t>
      </w:r>
    </w:p>
    <w:p w14:paraId="067771B7" w14:textId="77777777" w:rsidR="00CC09CB" w:rsidRPr="004862DD" w:rsidRDefault="00CC09CB" w:rsidP="00CC09CB">
      <w:pPr>
        <w:pStyle w:val="bullet"/>
        <w:numPr>
          <w:ilvl w:val="2"/>
          <w:numId w:val="17"/>
        </w:numPr>
        <w:rPr>
          <w:sz w:val="22"/>
          <w:szCs w:val="22"/>
        </w:rPr>
      </w:pPr>
      <w:r w:rsidRPr="004862DD">
        <w:rPr>
          <w:sz w:val="22"/>
          <w:szCs w:val="22"/>
        </w:rPr>
        <w:t>Note The entries in the table can be of different length including a mix of single slot SFI and multi-slot SFI</w:t>
      </w:r>
    </w:p>
    <w:p w14:paraId="2F522DA2" w14:textId="77777777" w:rsidR="00CC09CB" w:rsidRPr="004862DD" w:rsidRDefault="00CC09CB" w:rsidP="00CC09CB">
      <w:pPr>
        <w:pStyle w:val="bullet"/>
        <w:numPr>
          <w:ilvl w:val="3"/>
          <w:numId w:val="17"/>
        </w:numPr>
        <w:rPr>
          <w:sz w:val="22"/>
          <w:szCs w:val="22"/>
        </w:rPr>
      </w:pPr>
      <w:r w:rsidRPr="004862DD">
        <w:rPr>
          <w:sz w:val="22"/>
          <w:szCs w:val="22"/>
        </w:rPr>
        <w:t>The length of each entry in the table is FFS, e.g., multiple of configured GC-PDCCH monitoring period, a fraction of the configuration GC-PDCCH monitoring period, etc.</w:t>
      </w:r>
    </w:p>
    <w:p w14:paraId="7EAD6382" w14:textId="77777777" w:rsidR="00CC09CB" w:rsidRPr="004862DD" w:rsidRDefault="00CC09CB" w:rsidP="00CC09CB">
      <w:pPr>
        <w:overflowPunct w:val="0"/>
        <w:textAlignment w:val="baseline"/>
      </w:pPr>
      <w:r w:rsidRPr="004862DD">
        <w:rPr>
          <w:highlight w:val="green"/>
        </w:rPr>
        <w:t>Agreements</w:t>
      </w:r>
      <w:r w:rsidRPr="004862DD">
        <w:t>:</w:t>
      </w:r>
    </w:p>
    <w:p w14:paraId="5CCF7340" w14:textId="77777777" w:rsidR="00CC09CB" w:rsidRPr="004862DD" w:rsidRDefault="00CC09CB" w:rsidP="00CC09CB">
      <w:pPr>
        <w:numPr>
          <w:ilvl w:val="0"/>
          <w:numId w:val="18"/>
        </w:numPr>
        <w:tabs>
          <w:tab w:val="clear" w:pos="1080"/>
          <w:tab w:val="num" w:pos="720"/>
        </w:tabs>
        <w:overflowPunct w:val="0"/>
        <w:snapToGrid/>
        <w:spacing w:after="0"/>
        <w:ind w:left="720"/>
        <w:jc w:val="left"/>
        <w:textAlignment w:val="baseline"/>
      </w:pPr>
      <w:r w:rsidRPr="004862DD">
        <w:t>GC-PDCCH for dynamic SFI monitoring</w:t>
      </w:r>
    </w:p>
    <w:p w14:paraId="1D85565D" w14:textId="77777777" w:rsidR="00CC09CB" w:rsidRPr="004862DD" w:rsidRDefault="00CC09CB" w:rsidP="00CC09CB">
      <w:pPr>
        <w:numPr>
          <w:ilvl w:val="1"/>
          <w:numId w:val="18"/>
        </w:numPr>
        <w:tabs>
          <w:tab w:val="clear" w:pos="1800"/>
          <w:tab w:val="num" w:pos="1440"/>
        </w:tabs>
        <w:overflowPunct w:val="0"/>
        <w:snapToGrid/>
        <w:spacing w:after="0"/>
        <w:ind w:left="1440"/>
        <w:jc w:val="left"/>
        <w:textAlignment w:val="baseline"/>
      </w:pPr>
      <w:r w:rsidRPr="004862DD">
        <w:t>For same cell GC-PDCCH monitoring: UE is required to monitor at most one GC-PDCCH per spatial QCL per configuration period carrying dynamic SFI in the active BWP in the cell</w:t>
      </w:r>
    </w:p>
    <w:p w14:paraId="1F4EE7C8" w14:textId="77777777" w:rsidR="00CC09CB" w:rsidRPr="004862DD" w:rsidRDefault="00CC09CB" w:rsidP="00CC09CB">
      <w:pPr>
        <w:numPr>
          <w:ilvl w:val="2"/>
          <w:numId w:val="18"/>
        </w:numPr>
        <w:tabs>
          <w:tab w:val="clear" w:pos="2520"/>
          <w:tab w:val="num" w:pos="2160"/>
        </w:tabs>
        <w:overflowPunct w:val="0"/>
        <w:snapToGrid/>
        <w:spacing w:after="0"/>
        <w:ind w:left="2160"/>
        <w:jc w:val="left"/>
        <w:textAlignment w:val="baseline"/>
      </w:pPr>
      <w:r w:rsidRPr="004862DD">
        <w:t>The coreset(s) is located in the first 1/2/3 symbols in a slot</w:t>
      </w:r>
    </w:p>
    <w:p w14:paraId="311EADC3" w14:textId="77777777" w:rsidR="00CC09CB" w:rsidRPr="004862DD" w:rsidRDefault="00CC09CB" w:rsidP="00CC09CB">
      <w:pPr>
        <w:numPr>
          <w:ilvl w:val="2"/>
          <w:numId w:val="18"/>
        </w:numPr>
        <w:tabs>
          <w:tab w:val="clear" w:pos="2520"/>
          <w:tab w:val="num" w:pos="2160"/>
        </w:tabs>
        <w:overflowPunct w:val="0"/>
        <w:snapToGrid/>
        <w:spacing w:after="0"/>
        <w:ind w:left="2160"/>
        <w:jc w:val="left"/>
        <w:textAlignment w:val="baseline"/>
      </w:pPr>
      <w:r w:rsidRPr="004862DD">
        <w:t>Configuration of GC-PDCCH for UE to monitor is FFS especially considering interaction with BWP configuration</w:t>
      </w:r>
    </w:p>
    <w:p w14:paraId="00FCDDF9" w14:textId="77777777" w:rsidR="00CC09CB" w:rsidRPr="004862DD" w:rsidRDefault="00CC09CB" w:rsidP="00CC09CB">
      <w:pPr>
        <w:numPr>
          <w:ilvl w:val="2"/>
          <w:numId w:val="18"/>
        </w:numPr>
        <w:tabs>
          <w:tab w:val="clear" w:pos="2520"/>
          <w:tab w:val="num" w:pos="2160"/>
        </w:tabs>
        <w:overflowPunct w:val="0"/>
        <w:snapToGrid/>
        <w:spacing w:after="0"/>
        <w:ind w:left="2160"/>
        <w:jc w:val="left"/>
        <w:textAlignment w:val="baseline"/>
      </w:pPr>
      <w:r w:rsidRPr="004862DD">
        <w:t xml:space="preserve">Note: This is not intended to address the case of multi-TRP which is deprioritized before Dec. </w:t>
      </w:r>
    </w:p>
    <w:p w14:paraId="7FDC3B8C" w14:textId="77777777" w:rsidR="00CC09CB" w:rsidRPr="004862DD" w:rsidRDefault="00CC09CB" w:rsidP="00CC09CB">
      <w:pPr>
        <w:numPr>
          <w:ilvl w:val="1"/>
          <w:numId w:val="18"/>
        </w:numPr>
        <w:tabs>
          <w:tab w:val="clear" w:pos="1800"/>
          <w:tab w:val="num" w:pos="1440"/>
        </w:tabs>
        <w:overflowPunct w:val="0"/>
        <w:snapToGrid/>
        <w:spacing w:after="0"/>
        <w:ind w:left="1440"/>
        <w:jc w:val="left"/>
        <w:textAlignment w:val="baseline"/>
      </w:pPr>
      <w:r w:rsidRPr="004862DD">
        <w:t xml:space="preserve">When configuring the GC-PDCCH monitoring for dynamic SFI, the gNB will configure the payload length </w:t>
      </w:r>
    </w:p>
    <w:p w14:paraId="3EE55C80" w14:textId="77777777" w:rsidR="00CC09CB" w:rsidRPr="004862DD" w:rsidRDefault="00CC09CB" w:rsidP="00CC09CB">
      <w:pPr>
        <w:numPr>
          <w:ilvl w:val="1"/>
          <w:numId w:val="18"/>
        </w:numPr>
        <w:overflowPunct w:val="0"/>
        <w:snapToGrid/>
        <w:spacing w:after="0"/>
        <w:jc w:val="left"/>
        <w:textAlignment w:val="baseline"/>
      </w:pPr>
      <w:r w:rsidRPr="004862DD">
        <w:t>When configuring the GC PDCCH monitoring for dynamic SFI for a serving cell, the gNB will configure the location of the bits used for the dynamic SFI in the payload</w:t>
      </w:r>
    </w:p>
    <w:p w14:paraId="6BACA317" w14:textId="77777777" w:rsidR="00D66212" w:rsidRPr="004862DD" w:rsidRDefault="00D66212" w:rsidP="00D66212">
      <w:pPr>
        <w:rPr>
          <w:highlight w:val="green"/>
          <w:lang w:eastAsia="x-none"/>
        </w:rPr>
      </w:pPr>
      <w:r w:rsidRPr="004862DD">
        <w:rPr>
          <w:highlight w:val="green"/>
          <w:lang w:eastAsia="x-none"/>
        </w:rPr>
        <w:t>Agreements:</w:t>
      </w:r>
    </w:p>
    <w:p w14:paraId="58F98EE2" w14:textId="77777777" w:rsidR="00D66212" w:rsidRPr="004862DD" w:rsidRDefault="00D66212" w:rsidP="00D66212">
      <w:pPr>
        <w:pStyle w:val="af"/>
        <w:widowControl w:val="0"/>
        <w:numPr>
          <w:ilvl w:val="0"/>
          <w:numId w:val="18"/>
        </w:numPr>
        <w:spacing w:before="120"/>
        <w:ind w:firstLineChars="0"/>
        <w:rPr>
          <w:lang w:eastAsia="zh-CN"/>
        </w:rPr>
      </w:pPr>
      <w:r w:rsidRPr="004862DD">
        <w:rPr>
          <w:lang w:eastAsia="x-none"/>
        </w:rPr>
        <w:t>GC-PDCCH for SFI is associated with a SFI RNTI by configuration</w:t>
      </w:r>
    </w:p>
    <w:p w14:paraId="7E2850B1" w14:textId="4FA88F38" w:rsidR="00D66212" w:rsidRPr="004862DD" w:rsidRDefault="00D66212" w:rsidP="004862DD">
      <w:pPr>
        <w:widowControl w:val="0"/>
        <w:spacing w:before="120"/>
        <w:rPr>
          <w:lang w:eastAsia="zh-CN"/>
        </w:rPr>
      </w:pPr>
      <w:r w:rsidRPr="004862DD">
        <w:rPr>
          <w:lang w:eastAsia="zh-CN"/>
        </w:rPr>
        <w:t>F</w:t>
      </w:r>
      <w:r w:rsidRPr="004862DD">
        <w:rPr>
          <w:rFonts w:hint="eastAsia"/>
          <w:lang w:eastAsia="zh-CN"/>
        </w:rPr>
        <w:t>urthe</w:t>
      </w:r>
      <w:r w:rsidR="004862DD">
        <w:rPr>
          <w:rFonts w:hint="eastAsia"/>
          <w:lang w:eastAsia="zh-CN"/>
        </w:rPr>
        <w:t xml:space="preserve">r </w:t>
      </w:r>
      <w:r w:rsidR="004862DD">
        <w:rPr>
          <w:lang w:eastAsia="zh-CN"/>
        </w:rPr>
        <w:t xml:space="preserve">during the email discussion, the following agreements were made on GC-PDCCH decoding and overwriting rule </w:t>
      </w:r>
    </w:p>
    <w:p w14:paraId="470DEF90" w14:textId="77777777" w:rsidR="00D66212" w:rsidRPr="004862DD" w:rsidRDefault="00D66212" w:rsidP="00D66212">
      <w:pPr>
        <w:rPr>
          <w:rFonts w:ascii="Calibri" w:hAnsi="Calibri" w:cs="Calibri"/>
        </w:rPr>
      </w:pPr>
      <w:r w:rsidRPr="004862DD">
        <w:rPr>
          <w:rFonts w:ascii="Calibri" w:hAnsi="Calibri" w:cs="Calibri"/>
          <w:highlight w:val="green"/>
        </w:rPr>
        <w:t>Agreements</w:t>
      </w:r>
      <w:r w:rsidRPr="004862DD">
        <w:rPr>
          <w:rFonts w:ascii="Calibri" w:hAnsi="Calibri" w:cs="Calibri"/>
        </w:rPr>
        <w:t>:</w:t>
      </w:r>
    </w:p>
    <w:p w14:paraId="7CAC4532" w14:textId="77777777" w:rsidR="00D66212" w:rsidRPr="004862DD" w:rsidRDefault="00D66212" w:rsidP="00D66212">
      <w:pPr>
        <w:numPr>
          <w:ilvl w:val="0"/>
          <w:numId w:val="26"/>
        </w:numPr>
        <w:autoSpaceDE/>
        <w:autoSpaceDN/>
        <w:adjustRightInd/>
        <w:snapToGrid/>
        <w:spacing w:after="0"/>
        <w:jc w:val="left"/>
        <w:rPr>
          <w:rFonts w:eastAsia="Times New Roman"/>
          <w:color w:val="000000"/>
        </w:rPr>
      </w:pPr>
      <w:r w:rsidRPr="004862DD">
        <w:rPr>
          <w:rFonts w:eastAsia="Times New Roman"/>
          <w:color w:val="000000"/>
        </w:rPr>
        <w:t>For the blind decoding of GC-PDCCH carrying SFI, the GC-PDCCH blind decoding is configured with up to two decoding candidates  with a configured aggregation level in a CSS or group-CSS in a configured corset</w:t>
      </w:r>
    </w:p>
    <w:p w14:paraId="77E796DB" w14:textId="77777777" w:rsidR="00D66212" w:rsidRPr="004862DD" w:rsidRDefault="00D66212" w:rsidP="00D66212">
      <w:pPr>
        <w:rPr>
          <w:highlight w:val="green"/>
        </w:rPr>
      </w:pPr>
    </w:p>
    <w:p w14:paraId="0A934DF7" w14:textId="77777777" w:rsidR="00D66212" w:rsidRPr="004862DD" w:rsidRDefault="00D66212" w:rsidP="00D66212">
      <w:r w:rsidRPr="004862DD">
        <w:rPr>
          <w:highlight w:val="green"/>
        </w:rPr>
        <w:t>Agreements</w:t>
      </w:r>
      <w:r w:rsidRPr="004862DD">
        <w:t>:</w:t>
      </w:r>
    </w:p>
    <w:p w14:paraId="5022C0B1" w14:textId="77777777" w:rsidR="00D66212" w:rsidRPr="004862DD" w:rsidRDefault="00D66212" w:rsidP="00D66212">
      <w:pPr>
        <w:pStyle w:val="bullet"/>
        <w:numPr>
          <w:ilvl w:val="0"/>
          <w:numId w:val="24"/>
        </w:numPr>
        <w:spacing w:after="160" w:line="252" w:lineRule="auto"/>
        <w:rPr>
          <w:sz w:val="22"/>
          <w:szCs w:val="22"/>
        </w:rPr>
      </w:pPr>
      <w:r w:rsidRPr="004862DD">
        <w:rPr>
          <w:sz w:val="22"/>
          <w:szCs w:val="22"/>
        </w:rPr>
        <w:t>On overwriting rules across semi-static DL/UL assignment, dynamic SFI, DCI, etc</w:t>
      </w:r>
    </w:p>
    <w:p w14:paraId="60471679" w14:textId="77777777" w:rsidR="00D66212" w:rsidRPr="004862DD" w:rsidRDefault="00D66212" w:rsidP="00D66212">
      <w:pPr>
        <w:numPr>
          <w:ilvl w:val="0"/>
          <w:numId w:val="25"/>
        </w:numPr>
        <w:autoSpaceDE/>
        <w:autoSpaceDN/>
        <w:adjustRightInd/>
        <w:snapToGrid/>
        <w:spacing w:after="160" w:line="252" w:lineRule="auto"/>
        <w:ind w:left="1080"/>
        <w:jc w:val="left"/>
      </w:pPr>
      <w:r w:rsidRPr="004862DD">
        <w:t xml:space="preserve">Need to decide the overwriting rules between </w:t>
      </w:r>
    </w:p>
    <w:p w14:paraId="2236076F" w14:textId="77777777" w:rsidR="00D66212" w:rsidRPr="004862DD" w:rsidRDefault="00D66212" w:rsidP="00D66212">
      <w:pPr>
        <w:numPr>
          <w:ilvl w:val="1"/>
          <w:numId w:val="25"/>
        </w:numPr>
        <w:autoSpaceDE/>
        <w:autoSpaceDN/>
        <w:adjustRightInd/>
        <w:snapToGrid/>
        <w:spacing w:after="160" w:line="252" w:lineRule="auto"/>
        <w:ind w:left="1800"/>
        <w:jc w:val="left"/>
      </w:pPr>
      <w:r w:rsidRPr="004862DD">
        <w:t xml:space="preserve">Semi-static DL/UL assignment (including states DL, UL, unknown) </w:t>
      </w:r>
    </w:p>
    <w:p w14:paraId="0DC8013F" w14:textId="77777777" w:rsidR="00D66212" w:rsidRPr="004862DD" w:rsidRDefault="00D66212" w:rsidP="00D66212">
      <w:pPr>
        <w:numPr>
          <w:ilvl w:val="1"/>
          <w:numId w:val="25"/>
        </w:numPr>
        <w:autoSpaceDE/>
        <w:autoSpaceDN/>
        <w:adjustRightInd/>
        <w:snapToGrid/>
        <w:spacing w:after="160" w:line="252" w:lineRule="auto"/>
        <w:ind w:left="1800"/>
        <w:jc w:val="left"/>
      </w:pPr>
      <w:r w:rsidRPr="004862DD">
        <w:t>Dynamic SFI (indicated in GC-PDCCH with states DL, UL, and unknown)</w:t>
      </w:r>
    </w:p>
    <w:p w14:paraId="4CE49225" w14:textId="77777777" w:rsidR="00D66212" w:rsidRPr="004862DD" w:rsidRDefault="00D66212" w:rsidP="00D66212">
      <w:pPr>
        <w:numPr>
          <w:ilvl w:val="1"/>
          <w:numId w:val="25"/>
        </w:numPr>
        <w:autoSpaceDE/>
        <w:autoSpaceDN/>
        <w:adjustRightInd/>
        <w:snapToGrid/>
        <w:spacing w:after="160" w:line="252" w:lineRule="auto"/>
        <w:ind w:left="1800"/>
        <w:jc w:val="left"/>
      </w:pPr>
      <w:r w:rsidRPr="004862DD">
        <w:t xml:space="preserve">UE specific data transmission (UE specific DCI triggered PDSCH, PUSCH, and PUCCH with A/N for a PDSCH) </w:t>
      </w:r>
    </w:p>
    <w:p w14:paraId="77C7817C" w14:textId="77777777" w:rsidR="00D66212" w:rsidRPr="004862DD" w:rsidRDefault="00D66212" w:rsidP="00D66212">
      <w:pPr>
        <w:numPr>
          <w:ilvl w:val="2"/>
          <w:numId w:val="25"/>
        </w:numPr>
        <w:autoSpaceDE/>
        <w:autoSpaceDN/>
        <w:adjustRightInd/>
        <w:snapToGrid/>
        <w:spacing w:after="160" w:line="252" w:lineRule="auto"/>
        <w:ind w:left="2520"/>
        <w:jc w:val="left"/>
      </w:pPr>
      <w:r w:rsidRPr="004862DD">
        <w:lastRenderedPageBreak/>
        <w:t>Also include DCI triggered aperiodic measurement related signals, such as aperiodic CSI-RS, aperiodic SRS, etc</w:t>
      </w:r>
    </w:p>
    <w:p w14:paraId="3BBF6F67" w14:textId="77777777" w:rsidR="00D66212" w:rsidRPr="004862DD" w:rsidRDefault="00D66212" w:rsidP="00D66212">
      <w:pPr>
        <w:numPr>
          <w:ilvl w:val="2"/>
          <w:numId w:val="25"/>
        </w:numPr>
        <w:autoSpaceDE/>
        <w:autoSpaceDN/>
        <w:adjustRightInd/>
        <w:snapToGrid/>
        <w:spacing w:after="160" w:line="252" w:lineRule="auto"/>
        <w:ind w:left="2520"/>
        <w:jc w:val="left"/>
      </w:pPr>
      <w:r w:rsidRPr="004862DD">
        <w:t>FFS: Broadcast transmission, sync, PRACH, RAR, UL data transmission without UL grant, …</w:t>
      </w:r>
    </w:p>
    <w:p w14:paraId="3A2197E9" w14:textId="77777777" w:rsidR="00D66212" w:rsidRPr="004862DD" w:rsidRDefault="00D66212" w:rsidP="00D66212">
      <w:pPr>
        <w:numPr>
          <w:ilvl w:val="1"/>
          <w:numId w:val="25"/>
        </w:numPr>
        <w:autoSpaceDE/>
        <w:autoSpaceDN/>
        <w:adjustRightInd/>
        <w:snapToGrid/>
        <w:spacing w:after="160" w:line="252" w:lineRule="auto"/>
        <w:ind w:left="1800"/>
        <w:jc w:val="left"/>
      </w:pPr>
      <w:r w:rsidRPr="004862DD">
        <w:t xml:space="preserve">Measurement: Measurement related signals semi-statically configured by UE-specific RRC (eg. periodic/semi-persistent CSI-RS for CSI report, periodic CSI report, periodic/semi-persistent SRS) where a DL or UL direction will be assumed </w:t>
      </w:r>
    </w:p>
    <w:p w14:paraId="35CDA926" w14:textId="77777777" w:rsidR="00D66212" w:rsidRPr="004862DD" w:rsidRDefault="00D66212" w:rsidP="00D66212">
      <w:pPr>
        <w:numPr>
          <w:ilvl w:val="2"/>
          <w:numId w:val="25"/>
        </w:numPr>
        <w:autoSpaceDE/>
        <w:autoSpaceDN/>
        <w:adjustRightInd/>
        <w:snapToGrid/>
        <w:spacing w:after="160" w:line="252" w:lineRule="auto"/>
        <w:ind w:left="2520"/>
        <w:jc w:val="left"/>
      </w:pPr>
      <w:r w:rsidRPr="004862DD">
        <w:t>FFS: CSI-RS for RRM, TRS, etc</w:t>
      </w:r>
    </w:p>
    <w:p w14:paraId="2DDEF90A" w14:textId="77777777" w:rsidR="00D66212" w:rsidRPr="004862DD" w:rsidRDefault="00D66212" w:rsidP="00D66212">
      <w:pPr>
        <w:numPr>
          <w:ilvl w:val="1"/>
          <w:numId w:val="25"/>
        </w:numPr>
        <w:autoSpaceDE/>
        <w:autoSpaceDN/>
        <w:adjustRightInd/>
        <w:snapToGrid/>
        <w:spacing w:after="160" w:line="252" w:lineRule="auto"/>
        <w:ind w:left="1800"/>
        <w:jc w:val="left"/>
      </w:pPr>
      <w:r w:rsidRPr="004862DD">
        <w:t>FFS: Other signals, measurements, and monitoring (including configured coreset monitoring)</w:t>
      </w:r>
    </w:p>
    <w:p w14:paraId="5E04AD21" w14:textId="77777777" w:rsidR="00D66212" w:rsidRPr="004862DD" w:rsidRDefault="00D66212" w:rsidP="00D66212">
      <w:pPr>
        <w:numPr>
          <w:ilvl w:val="0"/>
          <w:numId w:val="25"/>
        </w:numPr>
        <w:autoSpaceDE/>
        <w:autoSpaceDN/>
        <w:adjustRightInd/>
        <w:snapToGrid/>
        <w:spacing w:after="160" w:line="252" w:lineRule="auto"/>
        <w:ind w:left="1080"/>
        <w:jc w:val="left"/>
      </w:pPr>
      <w:r w:rsidRPr="004862DD">
        <w:t xml:space="preserve">Consider the following directions of potential overwriting in Rel. 15: </w:t>
      </w:r>
    </w:p>
    <w:p w14:paraId="7472A32D" w14:textId="77777777" w:rsidR="00D66212" w:rsidRPr="004862DD" w:rsidRDefault="00D66212" w:rsidP="00D66212">
      <w:pPr>
        <w:numPr>
          <w:ilvl w:val="1"/>
          <w:numId w:val="25"/>
        </w:numPr>
        <w:autoSpaceDE/>
        <w:autoSpaceDN/>
        <w:adjustRightInd/>
        <w:snapToGrid/>
        <w:spacing w:after="160" w:line="252" w:lineRule="auto"/>
        <w:ind w:left="1800"/>
        <w:jc w:val="left"/>
      </w:pPr>
      <w:r w:rsidRPr="004862DD">
        <w:t>States from semi-static DL/UL assignment overwritten by measurement, dynamic SFI, or UE specific data</w:t>
      </w:r>
    </w:p>
    <w:p w14:paraId="6CEAED88" w14:textId="77777777" w:rsidR="00D66212" w:rsidRPr="004862DD" w:rsidRDefault="00D66212" w:rsidP="00D66212">
      <w:pPr>
        <w:numPr>
          <w:ilvl w:val="1"/>
          <w:numId w:val="25"/>
        </w:numPr>
        <w:autoSpaceDE/>
        <w:autoSpaceDN/>
        <w:adjustRightInd/>
        <w:snapToGrid/>
        <w:spacing w:after="160" w:line="252" w:lineRule="auto"/>
        <w:ind w:left="1800"/>
        <w:jc w:val="left"/>
      </w:pPr>
      <w:r w:rsidRPr="004862DD">
        <w:t>State from measurement overwritten by dynamic SFI or UE specific data</w:t>
      </w:r>
    </w:p>
    <w:p w14:paraId="0BA761BC" w14:textId="77777777" w:rsidR="00D66212" w:rsidRPr="004862DD" w:rsidRDefault="00D66212" w:rsidP="00D66212">
      <w:pPr>
        <w:numPr>
          <w:ilvl w:val="1"/>
          <w:numId w:val="25"/>
        </w:numPr>
        <w:autoSpaceDE/>
        <w:autoSpaceDN/>
        <w:adjustRightInd/>
        <w:snapToGrid/>
        <w:spacing w:after="160" w:line="252" w:lineRule="auto"/>
        <w:ind w:left="1800"/>
        <w:jc w:val="left"/>
      </w:pPr>
      <w:r w:rsidRPr="004862DD">
        <w:t>Dynamic SFI overwritten by UE specific data</w:t>
      </w:r>
    </w:p>
    <w:p w14:paraId="2F5D2F5B" w14:textId="77777777" w:rsidR="00D66212" w:rsidRPr="004862DD" w:rsidRDefault="00D66212" w:rsidP="00D66212">
      <w:pPr>
        <w:numPr>
          <w:ilvl w:val="1"/>
          <w:numId w:val="25"/>
        </w:numPr>
        <w:autoSpaceDE/>
        <w:autoSpaceDN/>
        <w:adjustRightInd/>
        <w:snapToGrid/>
        <w:spacing w:after="160" w:line="252" w:lineRule="auto"/>
        <w:ind w:left="1800"/>
        <w:jc w:val="left"/>
      </w:pPr>
      <w:r w:rsidRPr="004862DD">
        <w:t xml:space="preserve">FFS: UE-specific data and measurement related signals not semi-statically configured by RRC overwritten by “unknown” in dynamic SFI </w:t>
      </w:r>
    </w:p>
    <w:p w14:paraId="24EE8988" w14:textId="77777777" w:rsidR="00D66212" w:rsidRPr="004862DD" w:rsidRDefault="00D66212" w:rsidP="00D66212">
      <w:pPr>
        <w:numPr>
          <w:ilvl w:val="2"/>
          <w:numId w:val="25"/>
        </w:numPr>
        <w:autoSpaceDE/>
        <w:autoSpaceDN/>
        <w:adjustRightInd/>
        <w:snapToGrid/>
        <w:spacing w:after="160" w:line="252" w:lineRule="auto"/>
        <w:jc w:val="left"/>
        <w:rPr>
          <w:rFonts w:eastAsia="Times New Roman"/>
        </w:rPr>
      </w:pPr>
      <w:r w:rsidRPr="004862DD">
        <w:rPr>
          <w:rFonts w:eastAsia="Times New Roman"/>
        </w:rPr>
        <w:t>The timing requirement for overwriting</w:t>
      </w:r>
    </w:p>
    <w:p w14:paraId="6E1EE737" w14:textId="77777777" w:rsidR="00D66212" w:rsidRPr="004862DD" w:rsidRDefault="00D66212" w:rsidP="00D66212">
      <w:pPr>
        <w:numPr>
          <w:ilvl w:val="2"/>
          <w:numId w:val="25"/>
        </w:numPr>
        <w:autoSpaceDE/>
        <w:autoSpaceDN/>
        <w:adjustRightInd/>
        <w:snapToGrid/>
        <w:spacing w:after="160" w:line="252" w:lineRule="auto"/>
        <w:jc w:val="left"/>
        <w:rPr>
          <w:rFonts w:eastAsia="Times New Roman"/>
        </w:rPr>
      </w:pPr>
      <w:r w:rsidRPr="004862DD">
        <w:rPr>
          <w:rFonts w:eastAsia="Times New Roman"/>
        </w:rPr>
        <w:t>UE behavior will be the cancellation of the measurement/data reception or measurement/data related transmission</w:t>
      </w:r>
    </w:p>
    <w:p w14:paraId="32992DC1" w14:textId="77777777" w:rsidR="00D66212" w:rsidRPr="004862DD" w:rsidRDefault="00D66212" w:rsidP="00D66212">
      <w:pPr>
        <w:numPr>
          <w:ilvl w:val="0"/>
          <w:numId w:val="25"/>
        </w:numPr>
        <w:autoSpaceDE/>
        <w:autoSpaceDN/>
        <w:adjustRightInd/>
        <w:snapToGrid/>
        <w:spacing w:after="160" w:line="252" w:lineRule="auto"/>
        <w:ind w:left="1080"/>
        <w:jc w:val="left"/>
        <w:rPr>
          <w:rFonts w:eastAsia="Calibri"/>
        </w:rPr>
      </w:pPr>
      <w:r w:rsidRPr="004862DD">
        <w:t xml:space="preserve">For the states from semi-static DL/UL assignment </w:t>
      </w:r>
    </w:p>
    <w:p w14:paraId="397D19DC" w14:textId="77777777" w:rsidR="00D66212" w:rsidRPr="004862DD" w:rsidRDefault="00D66212" w:rsidP="00D66212">
      <w:pPr>
        <w:numPr>
          <w:ilvl w:val="1"/>
          <w:numId w:val="25"/>
        </w:numPr>
        <w:autoSpaceDE/>
        <w:autoSpaceDN/>
        <w:adjustRightInd/>
        <w:snapToGrid/>
        <w:spacing w:after="160" w:line="252" w:lineRule="auto"/>
        <w:ind w:left="1800"/>
        <w:jc w:val="left"/>
      </w:pPr>
      <w:r w:rsidRPr="004862DD">
        <w:t>“Unknown” in semi-static DL/UL assignment can be overwritten by measurement, dynamic SFI, and UE specific data</w:t>
      </w:r>
    </w:p>
    <w:p w14:paraId="0F55D11C" w14:textId="77777777" w:rsidR="00D66212" w:rsidRPr="004862DD" w:rsidRDefault="00D66212" w:rsidP="00D66212">
      <w:pPr>
        <w:numPr>
          <w:ilvl w:val="1"/>
          <w:numId w:val="25"/>
        </w:numPr>
        <w:autoSpaceDE/>
        <w:autoSpaceDN/>
        <w:adjustRightInd/>
        <w:snapToGrid/>
        <w:spacing w:after="160" w:line="252" w:lineRule="auto"/>
        <w:ind w:left="1800"/>
        <w:jc w:val="left"/>
      </w:pPr>
      <w:r w:rsidRPr="004862DD">
        <w:t>DL/UL in semi-static DL/UL assignment cannot be overwritten to the other direction (DL to UL or UL to DL) by measurement, dynamic SFI and UE specific data</w:t>
      </w:r>
    </w:p>
    <w:p w14:paraId="6A43DDE2" w14:textId="77777777" w:rsidR="00D66212" w:rsidRPr="004862DD" w:rsidRDefault="00D66212" w:rsidP="00D66212">
      <w:pPr>
        <w:numPr>
          <w:ilvl w:val="1"/>
          <w:numId w:val="25"/>
        </w:numPr>
        <w:autoSpaceDE/>
        <w:autoSpaceDN/>
        <w:adjustRightInd/>
        <w:snapToGrid/>
        <w:spacing w:after="160" w:line="252" w:lineRule="auto"/>
        <w:ind w:left="1800"/>
        <w:jc w:val="left"/>
      </w:pPr>
      <w:r w:rsidRPr="004862DD">
        <w:t>DL/UL in semi-static DL/UL assignment cannot be overwritten by “unknown” by dynamic SFI</w:t>
      </w:r>
    </w:p>
    <w:p w14:paraId="48A42894" w14:textId="77777777" w:rsidR="00D66212" w:rsidRPr="004862DD" w:rsidRDefault="00D66212" w:rsidP="00D66212">
      <w:pPr>
        <w:numPr>
          <w:ilvl w:val="0"/>
          <w:numId w:val="25"/>
        </w:numPr>
        <w:autoSpaceDE/>
        <w:autoSpaceDN/>
        <w:adjustRightInd/>
        <w:snapToGrid/>
        <w:spacing w:after="160" w:line="252" w:lineRule="auto"/>
        <w:ind w:left="1080"/>
        <w:jc w:val="left"/>
      </w:pPr>
      <w:r w:rsidRPr="004862DD">
        <w:t xml:space="preserve">For the states from measurement in symbols not under DL/UL from semi-static DL/UL assignment: </w:t>
      </w:r>
    </w:p>
    <w:p w14:paraId="5CB58ACF" w14:textId="77777777" w:rsidR="00D66212" w:rsidRPr="004862DD" w:rsidRDefault="00D66212" w:rsidP="00D66212">
      <w:pPr>
        <w:numPr>
          <w:ilvl w:val="1"/>
          <w:numId w:val="25"/>
        </w:numPr>
        <w:autoSpaceDE/>
        <w:autoSpaceDN/>
        <w:adjustRightInd/>
        <w:snapToGrid/>
        <w:spacing w:after="160" w:line="252" w:lineRule="auto"/>
        <w:ind w:left="1800"/>
        <w:jc w:val="left"/>
      </w:pPr>
      <w:r w:rsidRPr="004862DD">
        <w:t xml:space="preserve">DL/UL direction implied by measurement can be overwritten by unknown in dynamic SFI </w:t>
      </w:r>
    </w:p>
    <w:p w14:paraId="3B9B0742" w14:textId="77777777" w:rsidR="00D66212" w:rsidRPr="004862DD" w:rsidRDefault="00D66212" w:rsidP="00D66212">
      <w:pPr>
        <w:numPr>
          <w:ilvl w:val="2"/>
          <w:numId w:val="25"/>
        </w:numPr>
        <w:autoSpaceDE/>
        <w:autoSpaceDN/>
        <w:adjustRightInd/>
        <w:snapToGrid/>
        <w:spacing w:after="160" w:line="252" w:lineRule="auto"/>
        <w:ind w:left="2520"/>
        <w:jc w:val="left"/>
      </w:pPr>
      <w:r w:rsidRPr="004862DD">
        <w:t>UE behavior will be the cancellation of the measurement or measurement related transmission</w:t>
      </w:r>
    </w:p>
    <w:p w14:paraId="45724392" w14:textId="77777777" w:rsidR="00D66212" w:rsidRPr="004862DD" w:rsidRDefault="00D66212" w:rsidP="00D66212">
      <w:pPr>
        <w:numPr>
          <w:ilvl w:val="1"/>
          <w:numId w:val="25"/>
        </w:numPr>
        <w:autoSpaceDE/>
        <w:autoSpaceDN/>
        <w:adjustRightInd/>
        <w:snapToGrid/>
        <w:spacing w:after="160" w:line="252" w:lineRule="auto"/>
        <w:ind w:left="1800"/>
        <w:jc w:val="left"/>
      </w:pPr>
      <w:r w:rsidRPr="004862DD">
        <w:t xml:space="preserve">DL/UL direction implied by measurement can be overwritten by UL/DL from dynamic SFI </w:t>
      </w:r>
    </w:p>
    <w:p w14:paraId="4B9714A6" w14:textId="77777777" w:rsidR="00D66212" w:rsidRPr="004862DD" w:rsidRDefault="00D66212" w:rsidP="00D66212">
      <w:pPr>
        <w:numPr>
          <w:ilvl w:val="2"/>
          <w:numId w:val="25"/>
        </w:numPr>
        <w:autoSpaceDE/>
        <w:autoSpaceDN/>
        <w:adjustRightInd/>
        <w:snapToGrid/>
        <w:spacing w:after="160" w:line="252" w:lineRule="auto"/>
        <w:ind w:left="2520"/>
        <w:jc w:val="left"/>
      </w:pPr>
      <w:r w:rsidRPr="004862DD">
        <w:t>UE behavior will be the cancellation of the measurement or measurement related transmission</w:t>
      </w:r>
    </w:p>
    <w:p w14:paraId="7E00119F" w14:textId="77777777" w:rsidR="00D66212" w:rsidRPr="004862DD" w:rsidRDefault="00D66212" w:rsidP="00D66212">
      <w:pPr>
        <w:numPr>
          <w:ilvl w:val="1"/>
          <w:numId w:val="25"/>
        </w:numPr>
        <w:autoSpaceDE/>
        <w:autoSpaceDN/>
        <w:adjustRightInd/>
        <w:snapToGrid/>
        <w:spacing w:after="160" w:line="252" w:lineRule="auto"/>
        <w:ind w:left="1800"/>
        <w:jc w:val="left"/>
      </w:pPr>
      <w:r w:rsidRPr="004862DD">
        <w:t xml:space="preserve">DL/UL direction implied by measurement can be overwritten by UE’s own UE-specific data if the UE specific data imples the other direction </w:t>
      </w:r>
    </w:p>
    <w:p w14:paraId="63B1017D" w14:textId="77777777" w:rsidR="00D66212" w:rsidRPr="004862DD" w:rsidRDefault="00D66212" w:rsidP="00D66212">
      <w:pPr>
        <w:numPr>
          <w:ilvl w:val="2"/>
          <w:numId w:val="25"/>
        </w:numPr>
        <w:autoSpaceDE/>
        <w:autoSpaceDN/>
        <w:adjustRightInd/>
        <w:snapToGrid/>
        <w:spacing w:after="160" w:line="252" w:lineRule="auto"/>
        <w:ind w:left="2520"/>
        <w:jc w:val="left"/>
      </w:pPr>
      <w:r w:rsidRPr="004862DD">
        <w:lastRenderedPageBreak/>
        <w:t>UE behavior will be the cancellation of the measurement or measurement related transmission</w:t>
      </w:r>
    </w:p>
    <w:p w14:paraId="1892F4A6" w14:textId="77777777" w:rsidR="00D66212" w:rsidRPr="004862DD" w:rsidRDefault="00D66212" w:rsidP="00D66212">
      <w:pPr>
        <w:numPr>
          <w:ilvl w:val="2"/>
          <w:numId w:val="25"/>
        </w:numPr>
        <w:autoSpaceDE/>
        <w:autoSpaceDN/>
        <w:adjustRightInd/>
        <w:snapToGrid/>
        <w:spacing w:after="160" w:line="252" w:lineRule="auto"/>
        <w:ind w:left="2520"/>
        <w:jc w:val="left"/>
      </w:pPr>
      <w:r w:rsidRPr="004862DD">
        <w:t>UE will follow the DCI for UE-specific data transmission and reception</w:t>
      </w:r>
    </w:p>
    <w:p w14:paraId="58C04EC8" w14:textId="77777777" w:rsidR="00D66212" w:rsidRPr="004862DD" w:rsidRDefault="00D66212" w:rsidP="00D66212">
      <w:pPr>
        <w:numPr>
          <w:ilvl w:val="0"/>
          <w:numId w:val="25"/>
        </w:numPr>
        <w:autoSpaceDE/>
        <w:autoSpaceDN/>
        <w:adjustRightInd/>
        <w:snapToGrid/>
        <w:spacing w:after="160" w:line="252" w:lineRule="auto"/>
        <w:ind w:left="1080"/>
        <w:jc w:val="left"/>
      </w:pPr>
      <w:r w:rsidRPr="004862DD">
        <w:t xml:space="preserve">For the states in dynamic SFI in symbols not under DL/UL from semi-static DL/UL assignment (Already agreed in other agreements and only include for completeness) </w:t>
      </w:r>
    </w:p>
    <w:p w14:paraId="649B3DA0" w14:textId="77777777" w:rsidR="00D66212" w:rsidRPr="004862DD" w:rsidRDefault="00D66212" w:rsidP="00D66212">
      <w:pPr>
        <w:numPr>
          <w:ilvl w:val="1"/>
          <w:numId w:val="25"/>
        </w:numPr>
        <w:autoSpaceDE/>
        <w:autoSpaceDN/>
        <w:adjustRightInd/>
        <w:snapToGrid/>
        <w:spacing w:after="160" w:line="252" w:lineRule="auto"/>
        <w:ind w:left="1800"/>
        <w:jc w:val="left"/>
      </w:pPr>
      <w:r w:rsidRPr="004862DD">
        <w:t xml:space="preserve">UL/DL in dynamic SFI cannot be overwritten by UE specific data </w:t>
      </w:r>
    </w:p>
    <w:p w14:paraId="3297FD57" w14:textId="77777777" w:rsidR="00D66212" w:rsidRPr="004862DD" w:rsidRDefault="00D66212" w:rsidP="00D66212">
      <w:pPr>
        <w:numPr>
          <w:ilvl w:val="2"/>
          <w:numId w:val="25"/>
        </w:numPr>
        <w:autoSpaceDE/>
        <w:autoSpaceDN/>
        <w:adjustRightInd/>
        <w:snapToGrid/>
        <w:spacing w:after="160" w:line="252" w:lineRule="auto"/>
        <w:ind w:left="2520"/>
        <w:jc w:val="left"/>
      </w:pPr>
      <w:r w:rsidRPr="004862DD">
        <w:t>UE will treat it as an error case when UE specific data and dynamic SFI imply different transmit directions</w:t>
      </w:r>
    </w:p>
    <w:p w14:paraId="0BDEC0C2" w14:textId="77777777" w:rsidR="00D66212" w:rsidRPr="004862DD" w:rsidRDefault="00D66212" w:rsidP="00D66212">
      <w:pPr>
        <w:numPr>
          <w:ilvl w:val="1"/>
          <w:numId w:val="25"/>
        </w:numPr>
        <w:autoSpaceDE/>
        <w:autoSpaceDN/>
        <w:adjustRightInd/>
        <w:snapToGrid/>
        <w:spacing w:after="160" w:line="252" w:lineRule="auto"/>
        <w:ind w:left="1800"/>
        <w:jc w:val="left"/>
      </w:pPr>
      <w:r w:rsidRPr="004862DD">
        <w:t xml:space="preserve">Unknown in dynamic SFI can be overwritten by UE specific data (change to DL or UL) </w:t>
      </w:r>
    </w:p>
    <w:p w14:paraId="7B959742" w14:textId="77777777" w:rsidR="00D66212" w:rsidRPr="004862DD" w:rsidRDefault="00D66212" w:rsidP="00382B8A">
      <w:pPr>
        <w:numPr>
          <w:ilvl w:val="2"/>
          <w:numId w:val="25"/>
        </w:numPr>
        <w:autoSpaceDE/>
        <w:autoSpaceDN/>
        <w:adjustRightInd/>
        <w:snapToGrid/>
        <w:spacing w:after="160" w:line="252" w:lineRule="auto"/>
        <w:ind w:left="2520"/>
        <w:jc w:val="left"/>
      </w:pPr>
      <w:r w:rsidRPr="004862DD">
        <w:t>UE will follow the DCI for UE-specific data transmission and reception</w:t>
      </w:r>
    </w:p>
    <w:p w14:paraId="6C92D77C" w14:textId="77777777" w:rsidR="00D66212" w:rsidRPr="004862DD" w:rsidRDefault="00D66212" w:rsidP="00D66212">
      <w:pPr>
        <w:rPr>
          <w:lang w:eastAsia="x-none"/>
        </w:rPr>
      </w:pPr>
    </w:p>
    <w:p w14:paraId="5861981F" w14:textId="77777777" w:rsidR="00D66212" w:rsidRPr="004862DD" w:rsidRDefault="00D66212" w:rsidP="00D66212">
      <w:pPr>
        <w:rPr>
          <w:highlight w:val="green"/>
          <w:lang w:eastAsia="x-none"/>
        </w:rPr>
      </w:pPr>
      <w:r w:rsidRPr="004862DD">
        <w:rPr>
          <w:highlight w:val="green"/>
          <w:lang w:eastAsia="x-none"/>
        </w:rPr>
        <w:t>Agreements:</w:t>
      </w:r>
    </w:p>
    <w:p w14:paraId="3315C2A4" w14:textId="77777777" w:rsidR="00D66212" w:rsidRPr="004862DD" w:rsidRDefault="00D66212" w:rsidP="00D66212">
      <w:pPr>
        <w:pStyle w:val="af"/>
        <w:widowControl w:val="0"/>
        <w:numPr>
          <w:ilvl w:val="0"/>
          <w:numId w:val="22"/>
        </w:numPr>
        <w:autoSpaceDE/>
        <w:autoSpaceDN/>
        <w:adjustRightInd/>
        <w:snapToGrid/>
        <w:spacing w:after="0"/>
        <w:ind w:firstLineChars="0"/>
      </w:pPr>
      <w:r w:rsidRPr="004862DD">
        <w:t xml:space="preserve">For the cell-specific higher layer signalling on semi-static DL/UL assignment, the transmission indication is in pattern of DL-unknown-UL. The signaling include: </w:t>
      </w:r>
    </w:p>
    <w:p w14:paraId="64D8DE33" w14:textId="77777777" w:rsidR="00D66212" w:rsidRPr="004862DD" w:rsidRDefault="00D66212" w:rsidP="00D66212">
      <w:pPr>
        <w:pStyle w:val="af"/>
        <w:widowControl w:val="0"/>
        <w:numPr>
          <w:ilvl w:val="1"/>
          <w:numId w:val="22"/>
        </w:numPr>
        <w:autoSpaceDE/>
        <w:autoSpaceDN/>
        <w:adjustRightInd/>
        <w:snapToGrid/>
        <w:spacing w:after="0"/>
        <w:ind w:rightChars="100" w:right="220" w:firstLineChars="0"/>
      </w:pPr>
      <w:r w:rsidRPr="004862DD">
        <w:t>For DL resources indication, the signaling include:</w:t>
      </w:r>
    </w:p>
    <w:p w14:paraId="6ED13573" w14:textId="77777777" w:rsidR="00D66212" w:rsidRPr="004862DD" w:rsidRDefault="00D66212" w:rsidP="00D66212">
      <w:pPr>
        <w:pStyle w:val="af"/>
        <w:widowControl w:val="0"/>
        <w:numPr>
          <w:ilvl w:val="2"/>
          <w:numId w:val="22"/>
        </w:numPr>
        <w:autoSpaceDE/>
        <w:autoSpaceDN/>
        <w:adjustRightInd/>
        <w:snapToGrid/>
        <w:spacing w:after="0"/>
        <w:ind w:rightChars="100" w:right="220" w:firstLineChars="0"/>
      </w:pPr>
      <w:r w:rsidRPr="004862DD">
        <w:t xml:space="preserve">Number of full DL slot(s) (x1) at the beginning of the period. Values for x1 include {0,1,…, (Number of slots in a </w:t>
      </w:r>
      <w:r w:rsidRPr="004862DD">
        <w:rPr>
          <w:rFonts w:eastAsia="MS Mincho"/>
        </w:rPr>
        <w:t>UL-DL switching periodicity)}</w:t>
      </w:r>
    </w:p>
    <w:p w14:paraId="6AFC5E55" w14:textId="77777777" w:rsidR="00D66212" w:rsidRPr="004862DD" w:rsidRDefault="00D66212" w:rsidP="00D66212">
      <w:pPr>
        <w:pStyle w:val="af"/>
        <w:widowControl w:val="0"/>
        <w:numPr>
          <w:ilvl w:val="2"/>
          <w:numId w:val="22"/>
        </w:numPr>
        <w:autoSpaceDE/>
        <w:autoSpaceDN/>
        <w:adjustRightInd/>
        <w:snapToGrid/>
        <w:spacing w:after="0"/>
        <w:ind w:rightChars="100" w:right="220" w:firstLineChars="0"/>
      </w:pPr>
      <w:r w:rsidRPr="004862DD">
        <w:t>Number of DL symbol(s) follow the full DL slots (x2). Values for x2 include {0,1,…, 13}</w:t>
      </w:r>
    </w:p>
    <w:p w14:paraId="6EBBCFE6" w14:textId="77777777" w:rsidR="00D66212" w:rsidRPr="004862DD" w:rsidRDefault="00D66212" w:rsidP="00D66212">
      <w:pPr>
        <w:pStyle w:val="af"/>
        <w:widowControl w:val="0"/>
        <w:numPr>
          <w:ilvl w:val="1"/>
          <w:numId w:val="22"/>
        </w:numPr>
        <w:autoSpaceDE/>
        <w:autoSpaceDN/>
        <w:adjustRightInd/>
        <w:snapToGrid/>
        <w:spacing w:after="0"/>
        <w:ind w:rightChars="100" w:right="220" w:firstLineChars="0"/>
      </w:pPr>
      <w:r w:rsidRPr="004862DD">
        <w:t>For UL resource indication, the signaling include:</w:t>
      </w:r>
    </w:p>
    <w:p w14:paraId="36238F7C" w14:textId="77777777" w:rsidR="00D66212" w:rsidRPr="004862DD" w:rsidRDefault="00D66212" w:rsidP="00D66212">
      <w:pPr>
        <w:pStyle w:val="af"/>
        <w:widowControl w:val="0"/>
        <w:numPr>
          <w:ilvl w:val="2"/>
          <w:numId w:val="22"/>
        </w:numPr>
        <w:autoSpaceDE/>
        <w:autoSpaceDN/>
        <w:adjustRightInd/>
        <w:snapToGrid/>
        <w:spacing w:after="0"/>
        <w:ind w:rightChars="100" w:right="220" w:firstLineChars="0"/>
      </w:pPr>
      <w:r w:rsidRPr="004862DD">
        <w:t xml:space="preserve">Number of full UL slot(s) (y1) at the end of the period. Values for y1 include {0,1,…, (Number of slots in a </w:t>
      </w:r>
      <w:r w:rsidRPr="004862DD">
        <w:rPr>
          <w:rFonts w:eastAsia="MS Mincho"/>
        </w:rPr>
        <w:t>UL-DL switching periodicity)}</w:t>
      </w:r>
      <w:r w:rsidRPr="004862DD">
        <w:t xml:space="preserve"> </w:t>
      </w:r>
    </w:p>
    <w:p w14:paraId="0D44554D" w14:textId="77777777" w:rsidR="00D66212" w:rsidRPr="004862DD" w:rsidRDefault="00D66212" w:rsidP="00D66212">
      <w:pPr>
        <w:pStyle w:val="af"/>
        <w:widowControl w:val="0"/>
        <w:numPr>
          <w:ilvl w:val="2"/>
          <w:numId w:val="22"/>
        </w:numPr>
        <w:autoSpaceDE/>
        <w:autoSpaceDN/>
        <w:adjustRightInd/>
        <w:snapToGrid/>
        <w:spacing w:after="0"/>
        <w:ind w:rightChars="100" w:right="220" w:firstLineChars="0"/>
      </w:pPr>
      <w:r w:rsidRPr="004862DD">
        <w:t>Number of UL symbol(s) (y2) preceeds full UL slots. Values for y2 include {0,1,…, 13</w:t>
      </w:r>
      <w:r w:rsidRPr="004862DD">
        <w:rPr>
          <w:rFonts w:eastAsia="MS Mincho"/>
        </w:rPr>
        <w:t>}</w:t>
      </w:r>
      <w:r w:rsidRPr="004862DD">
        <w:t xml:space="preserve"> </w:t>
      </w:r>
    </w:p>
    <w:p w14:paraId="118928DE" w14:textId="77777777" w:rsidR="00D66212" w:rsidRPr="004862DD" w:rsidRDefault="00D66212" w:rsidP="00D66212">
      <w:pPr>
        <w:pStyle w:val="af"/>
        <w:widowControl w:val="0"/>
        <w:numPr>
          <w:ilvl w:val="1"/>
          <w:numId w:val="22"/>
        </w:numPr>
        <w:autoSpaceDE/>
        <w:autoSpaceDN/>
        <w:adjustRightInd/>
        <w:snapToGrid/>
        <w:spacing w:after="0"/>
        <w:ind w:rightChars="100" w:right="220" w:firstLineChars="0"/>
      </w:pPr>
      <w:r w:rsidRPr="004862DD">
        <w:t>The resource(s) in a period between DL and UL segments are unknown resources.</w:t>
      </w:r>
    </w:p>
    <w:p w14:paraId="55F18179" w14:textId="77777777" w:rsidR="00D66212" w:rsidRPr="004862DD" w:rsidRDefault="00D66212" w:rsidP="00D66212">
      <w:pPr>
        <w:pStyle w:val="af"/>
        <w:widowControl w:val="0"/>
        <w:numPr>
          <w:ilvl w:val="1"/>
          <w:numId w:val="22"/>
        </w:numPr>
        <w:autoSpaceDE/>
        <w:autoSpaceDN/>
        <w:adjustRightInd/>
        <w:snapToGrid/>
        <w:spacing w:after="0"/>
        <w:ind w:firstLineChars="0"/>
      </w:pPr>
      <w:r w:rsidRPr="004862DD">
        <w:t>FFS The UE does not receive and not transmit on ‘Unknown’ resources in cell-specific higher layer signalling if not otherwise indicated.</w:t>
      </w:r>
    </w:p>
    <w:p w14:paraId="2D00DAF8" w14:textId="77777777" w:rsidR="00D66212" w:rsidRPr="004862DD" w:rsidRDefault="00D66212" w:rsidP="00D66212">
      <w:pPr>
        <w:rPr>
          <w:lang w:eastAsia="x-none"/>
        </w:rPr>
      </w:pPr>
    </w:p>
    <w:p w14:paraId="14DD3809" w14:textId="77777777" w:rsidR="00D66212" w:rsidRPr="004862DD" w:rsidRDefault="00D66212" w:rsidP="00D66212">
      <w:pPr>
        <w:rPr>
          <w:lang w:eastAsia="x-none"/>
        </w:rPr>
      </w:pPr>
      <w:r w:rsidRPr="004862DD">
        <w:rPr>
          <w:highlight w:val="green"/>
          <w:lang w:eastAsia="x-none"/>
        </w:rPr>
        <w:t>Agreements</w:t>
      </w:r>
      <w:r w:rsidRPr="004862DD">
        <w:rPr>
          <w:lang w:eastAsia="x-none"/>
        </w:rPr>
        <w:t>:</w:t>
      </w:r>
    </w:p>
    <w:p w14:paraId="05BB5FE1" w14:textId="77777777" w:rsidR="00D66212" w:rsidRPr="004862DD" w:rsidRDefault="00D66212" w:rsidP="00D66212">
      <w:pPr>
        <w:pStyle w:val="af"/>
        <w:widowControl w:val="0"/>
        <w:numPr>
          <w:ilvl w:val="0"/>
          <w:numId w:val="23"/>
        </w:numPr>
        <w:autoSpaceDE/>
        <w:autoSpaceDN/>
        <w:adjustRightInd/>
        <w:snapToGrid/>
        <w:spacing w:after="0"/>
        <w:ind w:firstLineChars="0"/>
      </w:pPr>
      <w:r w:rsidRPr="004862DD">
        <w:t xml:space="preserve">For the UE-specific higher layer signalling on semi-static DL/UL assignment, </w:t>
      </w:r>
    </w:p>
    <w:p w14:paraId="0059ED78" w14:textId="77777777" w:rsidR="00D66212" w:rsidRPr="004862DD" w:rsidRDefault="00D66212" w:rsidP="00D66212">
      <w:pPr>
        <w:pStyle w:val="af"/>
        <w:widowControl w:val="0"/>
        <w:numPr>
          <w:ilvl w:val="1"/>
          <w:numId w:val="23"/>
        </w:numPr>
        <w:autoSpaceDE/>
        <w:autoSpaceDN/>
        <w:adjustRightInd/>
        <w:snapToGrid/>
        <w:spacing w:after="0"/>
        <w:ind w:firstLineChars="0"/>
      </w:pPr>
      <w:r w:rsidRPr="004862DD">
        <w:t>The signaling includes the indication as per slot basis, the signalling includes:</w:t>
      </w:r>
    </w:p>
    <w:p w14:paraId="14F7C6F3" w14:textId="77777777" w:rsidR="00D66212" w:rsidRPr="004862DD" w:rsidRDefault="00D66212" w:rsidP="00D66212">
      <w:pPr>
        <w:pStyle w:val="af"/>
        <w:widowControl w:val="0"/>
        <w:numPr>
          <w:ilvl w:val="2"/>
          <w:numId w:val="23"/>
        </w:numPr>
        <w:autoSpaceDE/>
        <w:autoSpaceDN/>
        <w:adjustRightInd/>
        <w:snapToGrid/>
        <w:spacing w:after="0"/>
        <w:ind w:firstLineChars="0"/>
      </w:pPr>
      <w:r w:rsidRPr="004862DD">
        <w:t>Number of DL symbol(s) (y3) in the beginning of slot No.x3</w:t>
      </w:r>
    </w:p>
    <w:p w14:paraId="00980E28" w14:textId="77777777" w:rsidR="00D66212" w:rsidRPr="004862DD" w:rsidRDefault="00D66212" w:rsidP="00D66212">
      <w:pPr>
        <w:pStyle w:val="af"/>
        <w:widowControl w:val="0"/>
        <w:numPr>
          <w:ilvl w:val="3"/>
          <w:numId w:val="23"/>
        </w:numPr>
        <w:autoSpaceDE/>
        <w:autoSpaceDN/>
        <w:adjustRightInd/>
        <w:snapToGrid/>
        <w:spacing w:after="0"/>
        <w:ind w:firstLineChars="0"/>
      </w:pPr>
      <w:r w:rsidRPr="004862DD">
        <w:t xml:space="preserve">Values for x3 include {1,…, (Number of slots in a </w:t>
      </w:r>
      <w:r w:rsidRPr="004862DD">
        <w:rPr>
          <w:rFonts w:eastAsia="MS Mincho"/>
        </w:rPr>
        <w:t>UL-DL switching periodicity)}</w:t>
      </w:r>
    </w:p>
    <w:p w14:paraId="6463C703" w14:textId="77777777" w:rsidR="00D66212" w:rsidRPr="004862DD" w:rsidRDefault="00D66212" w:rsidP="00D66212">
      <w:pPr>
        <w:pStyle w:val="af"/>
        <w:widowControl w:val="0"/>
        <w:numPr>
          <w:ilvl w:val="3"/>
          <w:numId w:val="23"/>
        </w:numPr>
        <w:autoSpaceDE/>
        <w:autoSpaceDN/>
        <w:adjustRightInd/>
        <w:snapToGrid/>
        <w:spacing w:after="0"/>
        <w:ind w:firstLineChars="0"/>
      </w:pPr>
      <w:r w:rsidRPr="004862DD">
        <w:t>Values for y3 include {0,1,…,13,14</w:t>
      </w:r>
      <w:r w:rsidRPr="004862DD">
        <w:rPr>
          <w:rFonts w:eastAsia="MS Mincho"/>
        </w:rPr>
        <w:t>}</w:t>
      </w:r>
    </w:p>
    <w:p w14:paraId="62D6B01D" w14:textId="77777777" w:rsidR="00D66212" w:rsidRPr="004862DD" w:rsidRDefault="00D66212" w:rsidP="00D66212">
      <w:pPr>
        <w:pStyle w:val="af"/>
        <w:widowControl w:val="0"/>
        <w:numPr>
          <w:ilvl w:val="2"/>
          <w:numId w:val="23"/>
        </w:numPr>
        <w:autoSpaceDE/>
        <w:autoSpaceDN/>
        <w:adjustRightInd/>
        <w:snapToGrid/>
        <w:spacing w:after="0"/>
        <w:ind w:firstLineChars="0"/>
      </w:pPr>
      <w:r w:rsidRPr="004862DD">
        <w:t>Number of UL symbol(s) (y4) in end of slot No.x4</w:t>
      </w:r>
    </w:p>
    <w:p w14:paraId="612F20E0" w14:textId="77777777" w:rsidR="00D66212" w:rsidRPr="004862DD" w:rsidRDefault="00D66212" w:rsidP="00D66212">
      <w:pPr>
        <w:pStyle w:val="af"/>
        <w:widowControl w:val="0"/>
        <w:numPr>
          <w:ilvl w:val="3"/>
          <w:numId w:val="23"/>
        </w:numPr>
        <w:autoSpaceDE/>
        <w:autoSpaceDN/>
        <w:adjustRightInd/>
        <w:snapToGrid/>
        <w:spacing w:after="0"/>
        <w:ind w:firstLineChars="0"/>
      </w:pPr>
      <w:r w:rsidRPr="004862DD">
        <w:t xml:space="preserve">Values for x4 include {1,…, (Number of slots in a </w:t>
      </w:r>
      <w:r w:rsidRPr="004862DD">
        <w:rPr>
          <w:rFonts w:eastAsia="MS Mincho"/>
        </w:rPr>
        <w:t>UL-DL switching periodicity)}</w:t>
      </w:r>
    </w:p>
    <w:p w14:paraId="680D1122" w14:textId="77777777" w:rsidR="00D66212" w:rsidRPr="004862DD" w:rsidRDefault="00D66212" w:rsidP="00D66212">
      <w:pPr>
        <w:pStyle w:val="af"/>
        <w:widowControl w:val="0"/>
        <w:numPr>
          <w:ilvl w:val="3"/>
          <w:numId w:val="23"/>
        </w:numPr>
        <w:autoSpaceDE/>
        <w:autoSpaceDN/>
        <w:adjustRightInd/>
        <w:snapToGrid/>
        <w:spacing w:after="0"/>
        <w:ind w:firstLineChars="0"/>
      </w:pPr>
      <w:r w:rsidRPr="004862DD">
        <w:t>Values for y4 include {0,1,…,13,14</w:t>
      </w:r>
      <w:r w:rsidRPr="004862DD">
        <w:rPr>
          <w:rFonts w:eastAsia="MS Mincho"/>
        </w:rPr>
        <w:t>}</w:t>
      </w:r>
    </w:p>
    <w:p w14:paraId="5857246F" w14:textId="77777777" w:rsidR="00D66212" w:rsidRPr="004862DD" w:rsidRDefault="00D66212" w:rsidP="00D66212">
      <w:pPr>
        <w:pStyle w:val="af"/>
        <w:widowControl w:val="0"/>
        <w:numPr>
          <w:ilvl w:val="2"/>
          <w:numId w:val="23"/>
        </w:numPr>
        <w:autoSpaceDE/>
        <w:autoSpaceDN/>
        <w:adjustRightInd/>
        <w:snapToGrid/>
        <w:spacing w:after="0"/>
        <w:ind w:rightChars="100" w:right="220" w:firstLineChars="0"/>
      </w:pPr>
      <w:r w:rsidRPr="004862DD">
        <w:t>The resource(s) in a slot without DL/UL indication are unknown resource(s).</w:t>
      </w:r>
    </w:p>
    <w:p w14:paraId="221DA36C" w14:textId="77777777" w:rsidR="00D66212" w:rsidRPr="004862DD" w:rsidRDefault="00D66212" w:rsidP="00D66212">
      <w:pPr>
        <w:pStyle w:val="af"/>
        <w:widowControl w:val="0"/>
        <w:numPr>
          <w:ilvl w:val="1"/>
          <w:numId w:val="23"/>
        </w:numPr>
        <w:autoSpaceDE/>
        <w:autoSpaceDN/>
        <w:adjustRightInd/>
        <w:snapToGrid/>
        <w:spacing w:after="0"/>
        <w:ind w:firstLineChars="0"/>
      </w:pPr>
      <w:r w:rsidRPr="004862DD">
        <w:t>FFS the UE does not receive and not transmit on ‘Unknown’ resources in UE-specific higher layer signalling if not otherwise indicated.</w:t>
      </w:r>
    </w:p>
    <w:p w14:paraId="66132BB1" w14:textId="77777777" w:rsidR="00D66212" w:rsidRPr="004862DD" w:rsidRDefault="00D66212" w:rsidP="00D66212">
      <w:pPr>
        <w:pStyle w:val="af"/>
        <w:widowControl w:val="0"/>
        <w:numPr>
          <w:ilvl w:val="1"/>
          <w:numId w:val="23"/>
        </w:numPr>
        <w:autoSpaceDE/>
        <w:autoSpaceDN/>
        <w:adjustRightInd/>
        <w:snapToGrid/>
        <w:spacing w:after="0"/>
        <w:ind w:firstLineChars="0"/>
      </w:pPr>
      <w:r w:rsidRPr="004862DD">
        <w:t xml:space="preserve">FFS At most single DL/UL switching point exists in a </w:t>
      </w:r>
      <w:r w:rsidRPr="004862DD">
        <w:rPr>
          <w:rFonts w:eastAsia="MS Mincho"/>
        </w:rPr>
        <w:t xml:space="preserve">UL-DL </w:t>
      </w:r>
      <w:r w:rsidRPr="004862DD">
        <w:t xml:space="preserve">switching periodicity. </w:t>
      </w:r>
    </w:p>
    <w:p w14:paraId="08800DC1" w14:textId="77777777" w:rsidR="00D66212" w:rsidRDefault="00D66212" w:rsidP="00D66212">
      <w:pPr>
        <w:rPr>
          <w:lang w:eastAsia="x-none"/>
        </w:rPr>
      </w:pPr>
    </w:p>
    <w:p w14:paraId="22E17349" w14:textId="3CA7E61B" w:rsidR="005D6354" w:rsidRPr="00005D67" w:rsidRDefault="0059028C" w:rsidP="005D6354">
      <w:pPr>
        <w:widowControl w:val="0"/>
        <w:spacing w:before="120"/>
        <w:rPr>
          <w:lang w:eastAsia="zh-CN"/>
        </w:rPr>
      </w:pPr>
      <w:r>
        <w:rPr>
          <w:rFonts w:eastAsia="MS Mincho"/>
        </w:rPr>
        <w:t xml:space="preserve">In this contribution, we present the discussion on the </w:t>
      </w:r>
      <w:r w:rsidR="001B7A8B">
        <w:rPr>
          <w:rFonts w:eastAsia="MS Mincho"/>
        </w:rPr>
        <w:t>remaining issues of the group common PDCCH</w:t>
      </w:r>
      <w:r w:rsidR="00E9521D">
        <w:rPr>
          <w:rFonts w:eastAsia="MS Mincho"/>
        </w:rPr>
        <w:t>.</w:t>
      </w:r>
    </w:p>
    <w:p w14:paraId="3E1071E4" w14:textId="77777777" w:rsidR="005D6354" w:rsidRPr="009A7382" w:rsidRDefault="005D6354" w:rsidP="005D6354">
      <w:pPr>
        <w:pBdr>
          <w:bottom w:val="single" w:sz="12" w:space="1" w:color="auto"/>
        </w:pBdr>
        <w:rPr>
          <w:sz w:val="16"/>
          <w:szCs w:val="16"/>
          <w:lang w:eastAsia="zh-CN"/>
        </w:rPr>
      </w:pPr>
    </w:p>
    <w:p w14:paraId="17EDFE6A" w14:textId="06ED110F" w:rsidR="005D6354" w:rsidRDefault="00932594" w:rsidP="005D6354">
      <w:pPr>
        <w:pStyle w:val="1"/>
        <w:rPr>
          <w:lang w:eastAsia="zh-CN"/>
        </w:rPr>
      </w:pPr>
      <w:r>
        <w:rPr>
          <w:lang w:eastAsia="zh-CN"/>
        </w:rPr>
        <w:lastRenderedPageBreak/>
        <w:t>Discussion</w:t>
      </w:r>
    </w:p>
    <w:p w14:paraId="6D8F8126" w14:textId="782E002D" w:rsidR="009E64DC" w:rsidRDefault="003923D8" w:rsidP="009E64DC">
      <w:pPr>
        <w:pStyle w:val="2"/>
        <w:rPr>
          <w:lang w:eastAsia="zh-CN"/>
        </w:rPr>
      </w:pPr>
      <w:r>
        <w:rPr>
          <w:lang w:eastAsia="zh-CN"/>
        </w:rPr>
        <w:t>Structure</w:t>
      </w:r>
    </w:p>
    <w:p w14:paraId="17C9A7ED" w14:textId="689E9609" w:rsidR="00A05F77" w:rsidRDefault="00A05F77" w:rsidP="00A05F77">
      <w:pPr>
        <w:rPr>
          <w:lang w:eastAsia="zh-CN"/>
        </w:rPr>
      </w:pPr>
      <w:r>
        <w:rPr>
          <w:lang w:eastAsia="zh-CN"/>
        </w:rPr>
        <w:t>T</w:t>
      </w:r>
      <w:r>
        <w:rPr>
          <w:rFonts w:hint="eastAsia"/>
          <w:lang w:eastAsia="zh-CN"/>
        </w:rPr>
        <w:t xml:space="preserve">he </w:t>
      </w:r>
      <w:r>
        <w:rPr>
          <w:lang w:eastAsia="zh-CN"/>
        </w:rPr>
        <w:t>payload size of the SFI have large impact on the structure of the GC-PDCCH. It has been agreed that the payload length can be configurable when UE is configured to perform SFI monitoring. It is argued that when the payload of the SFI is equal or less than 11 bits, LTE RM encoding scheme should be adopted, while when the payload of the SFI is larger than 11 bits, regular PDCCH structure with CRC should be adopted. In our understanding, although the ma</w:t>
      </w:r>
      <w:r w:rsidR="007A724C">
        <w:rPr>
          <w:lang w:eastAsia="zh-CN"/>
        </w:rPr>
        <w:t>ximum entries in the</w:t>
      </w:r>
      <w:r>
        <w:rPr>
          <w:lang w:eastAsia="zh-CN"/>
        </w:rPr>
        <w:t xml:space="preserve"> slot format table</w:t>
      </w:r>
      <w:r w:rsidR="007A724C">
        <w:rPr>
          <w:lang w:eastAsia="zh-CN"/>
        </w:rPr>
        <w:t xml:space="preserve"> of the single slot</w:t>
      </w:r>
      <w:r>
        <w:rPr>
          <w:lang w:eastAsia="zh-CN"/>
        </w:rPr>
        <w:t xml:space="preserve"> is 256 which means up to 8 bits is required </w:t>
      </w:r>
      <w:r w:rsidR="00762662">
        <w:rPr>
          <w:lang w:eastAsia="zh-CN"/>
        </w:rPr>
        <w:t xml:space="preserve">to </w:t>
      </w:r>
      <w:r>
        <w:rPr>
          <w:lang w:eastAsia="zh-CN"/>
        </w:rPr>
        <w:t xml:space="preserve">indicate the slot format for single slot, it is beneficial to possibly adding the padding bits to align the DCI size to reduce the blind decoding effort. Meanwhile, CRC is important to guarantee the reception performance of the GC-PDCCH. Thus, it is preferred to adopt the regular NR-PDCCH structure </w:t>
      </w:r>
      <w:r w:rsidR="00D6555C">
        <w:rPr>
          <w:lang w:eastAsia="zh-CN"/>
        </w:rPr>
        <w:t>with CRC attachment for the GC-PDCCH of SFI.</w:t>
      </w:r>
    </w:p>
    <w:p w14:paraId="29AF429B" w14:textId="60D7189D" w:rsidR="004935DD" w:rsidRPr="00F90599" w:rsidRDefault="004935DD" w:rsidP="00A05F77">
      <w:pPr>
        <w:rPr>
          <w:b/>
          <w:i/>
          <w:color w:val="000000"/>
          <w:lang w:eastAsia="zh-CN"/>
        </w:rPr>
      </w:pPr>
      <w:r w:rsidRPr="00F90599">
        <w:rPr>
          <w:b/>
          <w:i/>
          <w:lang w:eastAsia="zh-CN"/>
        </w:rPr>
        <w:t xml:space="preserve">Proposal 1: </w:t>
      </w:r>
      <w:r w:rsidRPr="00F90599">
        <w:rPr>
          <w:b/>
          <w:i/>
          <w:color w:val="000000"/>
          <w:lang w:eastAsia="zh-CN"/>
        </w:rPr>
        <w:t>The group common PDCCH is transmitted using a NR-PDCCH structure</w:t>
      </w:r>
      <w:r w:rsidR="007B0C5C" w:rsidRPr="00F90599">
        <w:rPr>
          <w:b/>
          <w:i/>
          <w:color w:val="000000"/>
          <w:lang w:eastAsia="zh-CN"/>
        </w:rPr>
        <w:t>.</w:t>
      </w:r>
    </w:p>
    <w:p w14:paraId="567A5F1D" w14:textId="77777777" w:rsidR="00F90599" w:rsidRDefault="00F90599" w:rsidP="00A05F77">
      <w:pPr>
        <w:rPr>
          <w:lang w:eastAsia="zh-CN"/>
        </w:rPr>
      </w:pPr>
    </w:p>
    <w:p w14:paraId="7B860E14" w14:textId="1B279A48" w:rsidR="007B0C5C" w:rsidRDefault="007B0C5C" w:rsidP="00A05F77">
      <w:pPr>
        <w:rPr>
          <w:lang w:eastAsia="zh-CN"/>
        </w:rPr>
      </w:pPr>
      <w:r>
        <w:rPr>
          <w:lang w:eastAsia="zh-CN"/>
        </w:rPr>
        <w:t>R</w:t>
      </w:r>
      <w:r>
        <w:rPr>
          <w:rFonts w:hint="eastAsia"/>
          <w:lang w:eastAsia="zh-CN"/>
        </w:rPr>
        <w:t xml:space="preserve">egarding </w:t>
      </w:r>
      <w:r>
        <w:rPr>
          <w:lang w:eastAsia="zh-CN"/>
        </w:rPr>
        <w:t xml:space="preserve">the monitoring of the GC-PDCCH, it is suggested that the </w:t>
      </w:r>
      <w:r w:rsidR="00871914">
        <w:rPr>
          <w:lang w:eastAsia="zh-CN"/>
        </w:rPr>
        <w:t xml:space="preserve">payload size of the GC-PDCCH is aligned with </w:t>
      </w:r>
      <w:r w:rsidR="005C3017">
        <w:rPr>
          <w:lang w:eastAsia="zh-CN"/>
        </w:rPr>
        <w:t>the PDCCH serves for other common control purpose</w:t>
      </w:r>
      <w:r w:rsidR="00871914">
        <w:rPr>
          <w:lang w:eastAsia="zh-CN"/>
        </w:rPr>
        <w:t>, thus no additional search space need</w:t>
      </w:r>
      <w:r w:rsidR="00762662">
        <w:rPr>
          <w:lang w:eastAsia="zh-CN"/>
        </w:rPr>
        <w:t>s</w:t>
      </w:r>
      <w:r w:rsidR="00871914">
        <w:rPr>
          <w:lang w:eastAsia="zh-CN"/>
        </w:rPr>
        <w:t xml:space="preserve"> to be defined for the monitoring of GC-PDCCH. Meanwhile, the </w:t>
      </w:r>
      <w:r w:rsidR="00762662">
        <w:rPr>
          <w:lang w:eastAsia="zh-CN"/>
        </w:rPr>
        <w:t xml:space="preserve">number of </w:t>
      </w:r>
      <w:r w:rsidR="00A94098">
        <w:rPr>
          <w:lang w:eastAsia="zh-CN"/>
        </w:rPr>
        <w:t>blind decod</w:t>
      </w:r>
      <w:r w:rsidR="00762662">
        <w:rPr>
          <w:lang w:eastAsia="zh-CN"/>
        </w:rPr>
        <w:t>ing</w:t>
      </w:r>
      <w:r w:rsidR="00A94098">
        <w:rPr>
          <w:lang w:eastAsia="zh-CN"/>
        </w:rPr>
        <w:t xml:space="preserve"> of the GC-PDCCH should be</w:t>
      </w:r>
      <w:r w:rsidR="00871914">
        <w:rPr>
          <w:lang w:eastAsia="zh-CN"/>
        </w:rPr>
        <w:t xml:space="preserve"> counted towards the budget e.g, 44 blind decodes for the 15kHz SCS.</w:t>
      </w:r>
    </w:p>
    <w:p w14:paraId="76156807" w14:textId="114A7DE5" w:rsidR="00F90599" w:rsidRPr="00F90599" w:rsidRDefault="00F90599" w:rsidP="00A05F77">
      <w:pPr>
        <w:rPr>
          <w:b/>
          <w:i/>
          <w:lang w:eastAsia="zh-CN"/>
        </w:rPr>
      </w:pPr>
      <w:r w:rsidRPr="00F90599">
        <w:rPr>
          <w:b/>
          <w:i/>
          <w:lang w:eastAsia="zh-CN"/>
        </w:rPr>
        <w:t xml:space="preserve">Proposal 2: The </w:t>
      </w:r>
      <w:r w:rsidR="00A415EC">
        <w:rPr>
          <w:b/>
          <w:i/>
          <w:lang w:eastAsia="zh-CN"/>
        </w:rPr>
        <w:t xml:space="preserve">number of </w:t>
      </w:r>
      <w:r w:rsidRPr="00F90599">
        <w:rPr>
          <w:b/>
          <w:i/>
          <w:lang w:eastAsia="zh-CN"/>
        </w:rPr>
        <w:t>blind decod</w:t>
      </w:r>
      <w:r w:rsidR="00A415EC">
        <w:rPr>
          <w:b/>
          <w:i/>
          <w:lang w:eastAsia="zh-CN"/>
        </w:rPr>
        <w:t>ing</w:t>
      </w:r>
      <w:r w:rsidRPr="00F90599">
        <w:rPr>
          <w:b/>
          <w:i/>
          <w:lang w:eastAsia="zh-CN"/>
        </w:rPr>
        <w:t xml:space="preserve"> </w:t>
      </w:r>
      <w:r w:rsidR="00A415EC">
        <w:rPr>
          <w:b/>
          <w:i/>
          <w:lang w:eastAsia="zh-CN"/>
        </w:rPr>
        <w:t>for</w:t>
      </w:r>
      <w:r w:rsidR="00A415EC" w:rsidRPr="00F90599">
        <w:rPr>
          <w:b/>
          <w:i/>
          <w:lang w:eastAsia="zh-CN"/>
        </w:rPr>
        <w:t xml:space="preserve"> </w:t>
      </w:r>
      <w:r w:rsidRPr="00F90599">
        <w:rPr>
          <w:b/>
          <w:i/>
          <w:lang w:eastAsia="zh-CN"/>
        </w:rPr>
        <w:t>the GC-PDCCH should be counted towards the budget e.g, 44 blind decodes for the 15kHz SCS.</w:t>
      </w:r>
    </w:p>
    <w:p w14:paraId="2F9FB227" w14:textId="77777777" w:rsidR="00F90599" w:rsidRPr="007B0C5C" w:rsidRDefault="00F90599" w:rsidP="00A05F77">
      <w:pPr>
        <w:rPr>
          <w:lang w:eastAsia="zh-CN"/>
        </w:rPr>
      </w:pPr>
    </w:p>
    <w:p w14:paraId="5A3A4DF6" w14:textId="21095574" w:rsidR="004935DD" w:rsidRPr="009E64DC" w:rsidRDefault="004935DD" w:rsidP="004935DD">
      <w:pPr>
        <w:pStyle w:val="2"/>
        <w:rPr>
          <w:lang w:eastAsia="zh-CN"/>
        </w:rPr>
      </w:pPr>
      <w:r>
        <w:rPr>
          <w:lang w:eastAsia="zh-CN"/>
        </w:rPr>
        <w:t>O</w:t>
      </w:r>
      <w:r w:rsidR="00132575">
        <w:rPr>
          <w:lang w:eastAsia="zh-CN"/>
        </w:rPr>
        <w:t>verwriting</w:t>
      </w:r>
      <w:r>
        <w:rPr>
          <w:lang w:eastAsia="zh-CN"/>
        </w:rPr>
        <w:t xml:space="preserve"> rule</w:t>
      </w:r>
    </w:p>
    <w:p w14:paraId="64453CA8" w14:textId="1A45605C" w:rsidR="00D6555C" w:rsidRDefault="003510D4" w:rsidP="00A05F77">
      <w:pPr>
        <w:rPr>
          <w:lang w:eastAsia="zh-CN"/>
        </w:rPr>
      </w:pPr>
      <w:r>
        <w:rPr>
          <w:lang w:eastAsia="zh-CN"/>
        </w:rPr>
        <w:t xml:space="preserve">During the email discussion, the framework of the </w:t>
      </w:r>
      <w:r w:rsidR="002A7D29">
        <w:rPr>
          <w:lang w:eastAsia="zh-CN"/>
        </w:rPr>
        <w:t>overwriting</w:t>
      </w:r>
      <w:r>
        <w:rPr>
          <w:lang w:eastAsia="zh-CN"/>
        </w:rPr>
        <w:t xml:space="preserve"> rule has been stabled. One of the remaining issue</w:t>
      </w:r>
      <w:r w:rsidR="002622E8">
        <w:rPr>
          <w:lang w:eastAsia="zh-CN"/>
        </w:rPr>
        <w:t>s</w:t>
      </w:r>
      <w:r>
        <w:rPr>
          <w:lang w:eastAsia="zh-CN"/>
        </w:rPr>
        <w:t xml:space="preserve"> is whether the DL/UL direction indicated by UE-specific DCI can be overwritten by the   “Unknown” state indicated in the dynamic SFI.</w:t>
      </w:r>
      <w:r w:rsidR="00D348B5">
        <w:rPr>
          <w:lang w:eastAsia="zh-CN"/>
        </w:rPr>
        <w:t xml:space="preserve"> In our understanding, DL/UL direction indicated by UE-specific DCI should be allowed to be changed to the “Unknown” state indicated by a later coming dynamic SFI. This can bring the benefits to reduce the latency for the UEs supporting the latency critical service such as URLLC especially considering the support of multi-slots or cross-slot scheduling as illustrated in Fig.1</w:t>
      </w:r>
      <w:r w:rsidR="005225F7">
        <w:rPr>
          <w:lang w:eastAsia="zh-CN"/>
        </w:rPr>
        <w:t>. S</w:t>
      </w:r>
      <w:r w:rsidR="00D348B5">
        <w:rPr>
          <w:lang w:eastAsia="zh-CN"/>
        </w:rPr>
        <w:t>uppose a UE</w:t>
      </w:r>
      <w:r w:rsidR="005225F7">
        <w:rPr>
          <w:lang w:eastAsia="zh-CN"/>
        </w:rPr>
        <w:t>1</w:t>
      </w:r>
      <w:r w:rsidR="00D348B5">
        <w:rPr>
          <w:lang w:eastAsia="zh-CN"/>
        </w:rPr>
        <w:t xml:space="preserve"> is scheduled for a DL transmission for </w:t>
      </w:r>
      <w:r w:rsidR="005225F7">
        <w:rPr>
          <w:lang w:eastAsia="zh-CN"/>
        </w:rPr>
        <w:t xml:space="preserve">K slots, while it is configured to monitor the dynamic SFI within the UE1’s scheduling occasions. gNB </w:t>
      </w:r>
      <w:r w:rsidR="003C6606">
        <w:rPr>
          <w:lang w:eastAsia="zh-CN"/>
        </w:rPr>
        <w:t xml:space="preserve">should be able </w:t>
      </w:r>
      <w:r w:rsidR="005225F7">
        <w:rPr>
          <w:lang w:eastAsia="zh-CN"/>
        </w:rPr>
        <w:t xml:space="preserve"> to change the slot format due to the arrival of UE2’s URLLC service, then </w:t>
      </w:r>
      <w:r w:rsidR="003C6606">
        <w:rPr>
          <w:lang w:eastAsia="zh-CN"/>
        </w:rPr>
        <w:t>the dynamic SFI can inform UE1 that the slot format will be changed to “Unknown” so UE1 can hold its reception.</w:t>
      </w:r>
    </w:p>
    <w:p w14:paraId="61041DBC" w14:textId="2592B0E9" w:rsidR="003F1F31" w:rsidRDefault="005968D7" w:rsidP="003F1F31">
      <w:pPr>
        <w:jc w:val="center"/>
        <w:rPr>
          <w:lang w:eastAsia="zh-CN"/>
        </w:rPr>
      </w:pPr>
      <w:r>
        <w:rPr>
          <w:noProof/>
          <w:lang w:eastAsia="zh-CN"/>
        </w:rPr>
        <w:lastRenderedPageBreak/>
        <w:drawing>
          <wp:inline distT="0" distB="0" distL="0" distR="0" wp14:anchorId="66BD9D1F" wp14:editId="299D4575">
            <wp:extent cx="4481465" cy="3417018"/>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3216" cy="3425978"/>
                    </a:xfrm>
                    <a:prstGeom prst="rect">
                      <a:avLst/>
                    </a:prstGeom>
                    <a:noFill/>
                  </pic:spPr>
                </pic:pic>
              </a:graphicData>
            </a:graphic>
          </wp:inline>
        </w:drawing>
      </w:r>
    </w:p>
    <w:p w14:paraId="360DAF8A" w14:textId="5AC43B12" w:rsidR="003F1F31" w:rsidRDefault="003F1F31" w:rsidP="003F1F31">
      <w:pPr>
        <w:jc w:val="center"/>
        <w:rPr>
          <w:lang w:eastAsia="zh-CN"/>
        </w:rPr>
      </w:pPr>
      <w:r>
        <w:rPr>
          <w:rFonts w:hint="eastAsia"/>
          <w:lang w:eastAsia="zh-CN"/>
        </w:rPr>
        <w:t>Figure 1: illustration of the overwriting</w:t>
      </w:r>
    </w:p>
    <w:p w14:paraId="6DC20E7A" w14:textId="77777777" w:rsidR="003C6606" w:rsidRDefault="003C6606" w:rsidP="00A05F77">
      <w:pPr>
        <w:rPr>
          <w:lang w:eastAsia="zh-CN"/>
        </w:rPr>
      </w:pPr>
    </w:p>
    <w:p w14:paraId="48B25FB9" w14:textId="2F805064" w:rsidR="003C6606" w:rsidRPr="00F90599" w:rsidRDefault="003C6606" w:rsidP="00A05F77">
      <w:pPr>
        <w:rPr>
          <w:b/>
          <w:i/>
          <w:lang w:eastAsia="zh-CN"/>
        </w:rPr>
      </w:pPr>
      <w:r w:rsidRPr="00F90599">
        <w:rPr>
          <w:b/>
          <w:i/>
          <w:lang w:eastAsia="zh-CN"/>
        </w:rPr>
        <w:t xml:space="preserve">Proposal 3: </w:t>
      </w:r>
      <w:r w:rsidR="00C21938" w:rsidRPr="00F90599">
        <w:rPr>
          <w:b/>
          <w:i/>
          <w:lang w:eastAsia="zh-CN"/>
        </w:rPr>
        <w:t xml:space="preserve">UE-specific data </w:t>
      </w:r>
      <w:r w:rsidR="00043EB6">
        <w:rPr>
          <w:b/>
          <w:i/>
          <w:lang w:eastAsia="zh-CN"/>
        </w:rPr>
        <w:t>can be</w:t>
      </w:r>
      <w:r w:rsidR="00762662">
        <w:rPr>
          <w:b/>
          <w:i/>
          <w:lang w:eastAsia="zh-CN"/>
        </w:rPr>
        <w:t xml:space="preserve"> </w:t>
      </w:r>
      <w:r w:rsidR="00C21938" w:rsidRPr="00F90599">
        <w:rPr>
          <w:b/>
          <w:i/>
          <w:lang w:eastAsia="zh-CN"/>
        </w:rPr>
        <w:t xml:space="preserve">overwritten by “unknown” in </w:t>
      </w:r>
      <w:r w:rsidR="00762662">
        <w:rPr>
          <w:b/>
          <w:i/>
          <w:lang w:eastAsia="zh-CN"/>
        </w:rPr>
        <w:t xml:space="preserve">later arriving </w:t>
      </w:r>
      <w:r w:rsidR="00C21938" w:rsidRPr="00F90599">
        <w:rPr>
          <w:b/>
          <w:i/>
          <w:lang w:eastAsia="zh-CN"/>
        </w:rPr>
        <w:t>dynamic SFI</w:t>
      </w:r>
    </w:p>
    <w:p w14:paraId="7343BF21" w14:textId="4CF68EF7" w:rsidR="00C21938" w:rsidRPr="00F90599" w:rsidRDefault="00C21938" w:rsidP="00C21938">
      <w:pPr>
        <w:pStyle w:val="af"/>
        <w:widowControl w:val="0"/>
        <w:numPr>
          <w:ilvl w:val="0"/>
          <w:numId w:val="22"/>
        </w:numPr>
        <w:autoSpaceDE/>
        <w:autoSpaceDN/>
        <w:adjustRightInd/>
        <w:snapToGrid/>
        <w:spacing w:after="0"/>
        <w:ind w:firstLineChars="0"/>
        <w:rPr>
          <w:b/>
          <w:i/>
        </w:rPr>
      </w:pPr>
      <w:r w:rsidRPr="00F90599">
        <w:rPr>
          <w:b/>
          <w:i/>
        </w:rPr>
        <w:t>UE behavior will be the cancellation of the data reception or data related transmission</w:t>
      </w:r>
    </w:p>
    <w:p w14:paraId="2CE0309F" w14:textId="77777777" w:rsidR="00D348B5" w:rsidRDefault="00D348B5" w:rsidP="00A05F77">
      <w:pPr>
        <w:rPr>
          <w:lang w:eastAsia="zh-CN"/>
        </w:rPr>
      </w:pPr>
    </w:p>
    <w:p w14:paraId="2BCDFDFD" w14:textId="4DBC9B5B" w:rsidR="003510D4" w:rsidRDefault="003510D4" w:rsidP="00A05F77">
      <w:pPr>
        <w:rPr>
          <w:lang w:eastAsia="zh-CN"/>
        </w:rPr>
      </w:pPr>
      <w:r>
        <w:rPr>
          <w:lang w:eastAsia="zh-CN"/>
        </w:rPr>
        <w:t xml:space="preserve">Another issue is how the timing can influence the </w:t>
      </w:r>
      <w:r w:rsidR="00B833D7">
        <w:rPr>
          <w:lang w:eastAsia="zh-CN"/>
        </w:rPr>
        <w:t>overwriting rule</w:t>
      </w:r>
      <w:r>
        <w:rPr>
          <w:lang w:eastAsia="zh-CN"/>
        </w:rPr>
        <w:t xml:space="preserve">. </w:t>
      </w:r>
      <w:r w:rsidR="00647A2E">
        <w:rPr>
          <w:lang w:eastAsia="zh-CN"/>
        </w:rPr>
        <w:t>The overwriting rule for different type</w:t>
      </w:r>
      <w:r w:rsidR="00E229A0">
        <w:rPr>
          <w:lang w:eastAsia="zh-CN"/>
        </w:rPr>
        <w:t>s</w:t>
      </w:r>
      <w:r w:rsidR="00647A2E">
        <w:rPr>
          <w:lang w:eastAsia="zh-CN"/>
        </w:rPr>
        <w:t xml:space="preserve"> of signaling has been agreed basically. For the same type of signaling, the overwriting rule should be defined as well. </w:t>
      </w:r>
      <w:r>
        <w:rPr>
          <w:lang w:eastAsia="zh-CN"/>
        </w:rPr>
        <w:t xml:space="preserve">In our understanding, </w:t>
      </w:r>
      <w:r w:rsidR="001521D9">
        <w:rPr>
          <w:lang w:eastAsia="zh-CN"/>
        </w:rPr>
        <w:t>it is natural that</w:t>
      </w:r>
      <w:r w:rsidR="00985C40">
        <w:rPr>
          <w:lang w:eastAsia="zh-CN"/>
        </w:rPr>
        <w:t xml:space="preserve"> latest</w:t>
      </w:r>
      <w:r>
        <w:rPr>
          <w:lang w:eastAsia="zh-CN"/>
        </w:rPr>
        <w:t xml:space="preserve"> gNB command always take the priority on </w:t>
      </w:r>
      <w:r w:rsidR="002559D5">
        <w:rPr>
          <w:lang w:eastAsia="zh-CN"/>
        </w:rPr>
        <w:t>determine</w:t>
      </w:r>
      <w:r>
        <w:rPr>
          <w:lang w:eastAsia="zh-CN"/>
        </w:rPr>
        <w:t xml:space="preserve"> the </w:t>
      </w:r>
      <w:r w:rsidR="002622E8">
        <w:rPr>
          <w:lang w:eastAsia="zh-CN"/>
        </w:rPr>
        <w:t>slot format</w:t>
      </w:r>
      <w:r w:rsidR="006540B5">
        <w:rPr>
          <w:lang w:eastAsia="zh-CN"/>
        </w:rPr>
        <w:t xml:space="preserve"> as gNB should be able to decide the slot structure based on the latest information</w:t>
      </w:r>
      <w:r>
        <w:rPr>
          <w:lang w:eastAsia="zh-CN"/>
        </w:rPr>
        <w:t>.</w:t>
      </w:r>
    </w:p>
    <w:p w14:paraId="2822A876" w14:textId="5527343A" w:rsidR="006540B5" w:rsidRDefault="006540B5" w:rsidP="00A05F77">
      <w:pPr>
        <w:rPr>
          <w:lang w:eastAsia="zh-CN"/>
        </w:rPr>
      </w:pPr>
      <w:r>
        <w:rPr>
          <w:lang w:eastAsia="zh-CN"/>
        </w:rPr>
        <w:t xml:space="preserve">For the </w:t>
      </w:r>
      <w:r w:rsidRPr="004862DD">
        <w:t xml:space="preserve">UE-specific higher layer signalling on semi-static DL/UL assignment, </w:t>
      </w:r>
      <w:r w:rsidR="00AF5607">
        <w:rPr>
          <w:lang w:eastAsia="zh-CN"/>
        </w:rPr>
        <w:t xml:space="preserve">the </w:t>
      </w:r>
      <w:r>
        <w:rPr>
          <w:lang w:eastAsia="zh-CN"/>
        </w:rPr>
        <w:t xml:space="preserve">latest semi-static assignment works after the RRC signaling </w:t>
      </w:r>
      <w:r w:rsidR="00C17B66">
        <w:rPr>
          <w:lang w:eastAsia="zh-CN"/>
        </w:rPr>
        <w:t>re-</w:t>
      </w:r>
      <w:r>
        <w:rPr>
          <w:lang w:eastAsia="zh-CN"/>
        </w:rPr>
        <w:t>configuration.</w:t>
      </w:r>
    </w:p>
    <w:p w14:paraId="2AD95292" w14:textId="3CAF54B4" w:rsidR="006540B5" w:rsidRDefault="006540B5" w:rsidP="00A05F77">
      <w:pPr>
        <w:rPr>
          <w:lang w:eastAsia="zh-CN"/>
        </w:rPr>
      </w:pPr>
      <w:r>
        <w:rPr>
          <w:lang w:eastAsia="zh-CN"/>
        </w:rPr>
        <w:t xml:space="preserve">For the slot format implied by the UE-specific DCI, </w:t>
      </w:r>
      <w:r w:rsidR="00AF5607">
        <w:rPr>
          <w:lang w:eastAsia="zh-CN"/>
        </w:rPr>
        <w:t>the latest DCI determines the slot format to reduce the possible latency.</w:t>
      </w:r>
    </w:p>
    <w:p w14:paraId="51622196" w14:textId="3A8E05C8" w:rsidR="00AF5607" w:rsidRDefault="00AF5607" w:rsidP="00A05F77">
      <w:r>
        <w:rPr>
          <w:lang w:eastAsia="zh-CN"/>
        </w:rPr>
        <w:t>For the slot format indicated in the dynamic SFI, it is FFS that whether t</w:t>
      </w:r>
      <w:r w:rsidRPr="004862DD">
        <w:t>he length of each entry in the</w:t>
      </w:r>
      <w:r>
        <w:t xml:space="preserve"> UE-specific configured table can be a</w:t>
      </w:r>
      <w:r w:rsidRPr="004862DD">
        <w:t xml:space="preserve"> multiple of configured GC-PDCCH monitoring period</w:t>
      </w:r>
      <w:r w:rsidR="005A0F23">
        <w:t xml:space="preserve">. </w:t>
      </w:r>
      <w:r w:rsidR="0048287E">
        <w:t>I</w:t>
      </w:r>
      <w:r w:rsidR="005A0F23">
        <w:t>t is possible that the slot format of a slot is indicated by more than one dynamic SFI.</w:t>
      </w:r>
      <w:r w:rsidR="00807398">
        <w:t xml:space="preserve"> As illustrated in Fig.2, UE is configured to monitor GC-PDCCH for SFI every second slot. The dynamic SFI in slot 1 indicates consecutive 4 DL only slots, while the dynamic SFI in slot 3 changes the slot formats for the following 2 slots.</w:t>
      </w:r>
      <w:r w:rsidR="005A0F23">
        <w:t xml:space="preserve"> </w:t>
      </w:r>
      <w:r w:rsidR="0048287E">
        <w:t>Although it is not clear to us the benefit of introducing this kind of</w:t>
      </w:r>
      <w:r w:rsidR="00CE5E75">
        <w:t xml:space="preserve"> design, it seems reasonable the latest dynamic SFI decides the slot format.</w:t>
      </w:r>
    </w:p>
    <w:p w14:paraId="4DAD5E4A" w14:textId="43F9F106" w:rsidR="005968D7" w:rsidRDefault="007A1351" w:rsidP="007A1351">
      <w:pPr>
        <w:jc w:val="center"/>
      </w:pPr>
      <w:r>
        <w:rPr>
          <w:noProof/>
          <w:lang w:eastAsia="zh-CN"/>
        </w:rPr>
        <w:lastRenderedPageBreak/>
        <w:drawing>
          <wp:inline distT="0" distB="0" distL="0" distR="0" wp14:anchorId="37317812" wp14:editId="483D060D">
            <wp:extent cx="4160068" cy="2820289"/>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79822" cy="2833681"/>
                    </a:xfrm>
                    <a:prstGeom prst="rect">
                      <a:avLst/>
                    </a:prstGeom>
                    <a:noFill/>
                  </pic:spPr>
                </pic:pic>
              </a:graphicData>
            </a:graphic>
          </wp:inline>
        </w:drawing>
      </w:r>
    </w:p>
    <w:p w14:paraId="681DFADC" w14:textId="28F6DEEA" w:rsidR="007A1351" w:rsidRDefault="007A1351" w:rsidP="007A1351">
      <w:pPr>
        <w:jc w:val="center"/>
        <w:rPr>
          <w:lang w:eastAsia="zh-CN"/>
        </w:rPr>
      </w:pPr>
      <w:r>
        <w:rPr>
          <w:lang w:eastAsia="zh-CN"/>
        </w:rPr>
        <w:t>F</w:t>
      </w:r>
      <w:r>
        <w:rPr>
          <w:rFonts w:hint="eastAsia"/>
          <w:lang w:eastAsia="zh-CN"/>
        </w:rPr>
        <w:t xml:space="preserve">igure </w:t>
      </w:r>
      <w:r>
        <w:rPr>
          <w:lang w:eastAsia="zh-CN"/>
        </w:rPr>
        <w:t>2: Dynamic SFI overwritten by later dynamic SFI</w:t>
      </w:r>
    </w:p>
    <w:p w14:paraId="397DAF46" w14:textId="77777777" w:rsidR="003B70C6" w:rsidRDefault="003B70C6" w:rsidP="00A05F77"/>
    <w:p w14:paraId="25B9E2A1" w14:textId="65D3D085" w:rsidR="003B70C6" w:rsidRPr="00E03B91" w:rsidRDefault="003B70C6" w:rsidP="00A05F77">
      <w:pPr>
        <w:rPr>
          <w:b/>
          <w:i/>
          <w:lang w:eastAsia="zh-CN"/>
        </w:rPr>
      </w:pPr>
      <w:r w:rsidRPr="00E03B91">
        <w:rPr>
          <w:b/>
          <w:i/>
        </w:rPr>
        <w:t xml:space="preserve">Proposal 4: UE follows the slot formats indicated in the latest signaling in case of the conflicting between the same </w:t>
      </w:r>
      <w:r w:rsidR="006B7840" w:rsidRPr="00E03B91">
        <w:rPr>
          <w:b/>
          <w:i/>
        </w:rPr>
        <w:t>types</w:t>
      </w:r>
      <w:r w:rsidRPr="00E03B91">
        <w:rPr>
          <w:b/>
          <w:i/>
        </w:rPr>
        <w:t xml:space="preserve"> of signaling</w:t>
      </w:r>
      <w:r w:rsidR="006B7840" w:rsidRPr="00E03B91">
        <w:rPr>
          <w:b/>
          <w:i/>
        </w:rPr>
        <w:t>.</w:t>
      </w:r>
    </w:p>
    <w:p w14:paraId="56E25BCA" w14:textId="77777777" w:rsidR="00100A98" w:rsidRDefault="00100A98" w:rsidP="007B23FA">
      <w:pPr>
        <w:rPr>
          <w:b/>
          <w:bCs/>
          <w:sz w:val="24"/>
          <w:lang w:eastAsia="zh-CN"/>
        </w:rPr>
      </w:pPr>
    </w:p>
    <w:p w14:paraId="0DC1628F" w14:textId="0ADF4596" w:rsidR="00E03B91" w:rsidRDefault="0043740C" w:rsidP="00E03B91">
      <w:pPr>
        <w:pStyle w:val="2"/>
        <w:rPr>
          <w:rFonts w:eastAsia="宋体"/>
          <w:color w:val="000000" w:themeColor="text1"/>
          <w:lang w:eastAsia="zh-CN"/>
        </w:rPr>
      </w:pPr>
      <w:r>
        <w:rPr>
          <w:rFonts w:eastAsia="宋体"/>
          <w:color w:val="000000" w:themeColor="text1"/>
          <w:lang w:eastAsia="zh-CN"/>
        </w:rPr>
        <w:t xml:space="preserve">UE behavior when </w:t>
      </w:r>
      <w:r>
        <w:rPr>
          <w:rFonts w:eastAsia="宋体" w:hint="eastAsia"/>
          <w:color w:val="000000" w:themeColor="text1"/>
          <w:lang w:eastAsia="zh-CN"/>
        </w:rPr>
        <w:t>group</w:t>
      </w:r>
      <w:r w:rsidR="00201351">
        <w:rPr>
          <w:rFonts w:eastAsia="宋体"/>
          <w:color w:val="000000" w:themeColor="text1"/>
          <w:lang w:eastAsia="zh-CN"/>
        </w:rPr>
        <w:t xml:space="preserve"> </w:t>
      </w:r>
      <w:r>
        <w:rPr>
          <w:rFonts w:eastAsia="宋体"/>
          <w:color w:val="000000" w:themeColor="text1"/>
          <w:lang w:eastAsia="zh-CN"/>
        </w:rPr>
        <w:t>common PDCCH is not detected (erasure)</w:t>
      </w:r>
    </w:p>
    <w:p w14:paraId="6EE339B3" w14:textId="2CD74F4C" w:rsidR="0043740C" w:rsidRDefault="00201351" w:rsidP="0043740C">
      <w:pPr>
        <w:rPr>
          <w:lang w:eastAsia="zh-CN"/>
        </w:rPr>
      </w:pPr>
      <w:r>
        <w:rPr>
          <w:lang w:eastAsia="zh-CN"/>
        </w:rPr>
        <w:t>D</w:t>
      </w:r>
      <w:r>
        <w:rPr>
          <w:rFonts w:hint="eastAsia"/>
          <w:lang w:eastAsia="zh-CN"/>
        </w:rPr>
        <w:t xml:space="preserve">uring </w:t>
      </w:r>
      <w:r>
        <w:rPr>
          <w:lang w:eastAsia="zh-CN"/>
        </w:rPr>
        <w:t>the email discussion, there was extensive discussion on the UE behavior when UE miss</w:t>
      </w:r>
      <w:r w:rsidR="00254F82">
        <w:rPr>
          <w:lang w:eastAsia="zh-CN"/>
        </w:rPr>
        <w:t>es</w:t>
      </w:r>
      <w:r>
        <w:rPr>
          <w:lang w:eastAsia="zh-CN"/>
        </w:rPr>
        <w:t xml:space="preserve"> the detection of the group common PDCCH</w:t>
      </w:r>
      <w:r w:rsidR="005712A8">
        <w:rPr>
          <w:lang w:eastAsia="zh-CN"/>
        </w:rPr>
        <w:t xml:space="preserve"> on the configured monitoring occasions. Basically, two UE behaviors are considered:</w:t>
      </w:r>
    </w:p>
    <w:p w14:paraId="5B3F7C47" w14:textId="60D5E49A" w:rsidR="005712A8" w:rsidRPr="005F54B9" w:rsidRDefault="005F54B9" w:rsidP="005F54B9">
      <w:pPr>
        <w:pStyle w:val="af"/>
        <w:widowControl w:val="0"/>
        <w:numPr>
          <w:ilvl w:val="0"/>
          <w:numId w:val="22"/>
        </w:numPr>
        <w:autoSpaceDE/>
        <w:autoSpaceDN/>
        <w:adjustRightInd/>
        <w:snapToGrid/>
        <w:spacing w:after="0"/>
        <w:ind w:firstLineChars="0"/>
      </w:pPr>
      <w:r>
        <w:t xml:space="preserve">Option 1: </w:t>
      </w:r>
      <w:r w:rsidR="005712A8" w:rsidRPr="005F54B9">
        <w:t>Treat the erasure as dynamic SFI “unknown”, so PDCCH monitoring will be skipped</w:t>
      </w:r>
    </w:p>
    <w:p w14:paraId="70E53F0C" w14:textId="2CB8F7FC" w:rsidR="005712A8" w:rsidRPr="005F54B9" w:rsidRDefault="005F54B9" w:rsidP="005F54B9">
      <w:pPr>
        <w:pStyle w:val="af"/>
        <w:widowControl w:val="0"/>
        <w:numPr>
          <w:ilvl w:val="0"/>
          <w:numId w:val="22"/>
        </w:numPr>
        <w:autoSpaceDE/>
        <w:autoSpaceDN/>
        <w:adjustRightInd/>
        <w:snapToGrid/>
        <w:spacing w:after="0"/>
        <w:ind w:firstLineChars="0"/>
      </w:pPr>
      <w:r>
        <w:t xml:space="preserve">Option 2: </w:t>
      </w:r>
      <w:r w:rsidR="00E137FE" w:rsidRPr="005F54B9">
        <w:t>T</w:t>
      </w:r>
      <w:r w:rsidR="005712A8" w:rsidRPr="005F54B9">
        <w:t>reat the erasure as if the SFI is not transmitted, and UE behavior follows other mechanisms, for example, UE follows the slot format indicated by the semi-static signaling</w:t>
      </w:r>
    </w:p>
    <w:p w14:paraId="72EB2FB7" w14:textId="2C5CF838" w:rsidR="009F4B8E" w:rsidRDefault="009F4B8E" w:rsidP="0043740C">
      <w:pPr>
        <w:rPr>
          <w:lang w:eastAsia="zh-CN"/>
        </w:rPr>
      </w:pPr>
      <w:r>
        <w:rPr>
          <w:lang w:eastAsia="zh-CN"/>
        </w:rPr>
        <w:t>A</w:t>
      </w:r>
      <w:r>
        <w:rPr>
          <w:rFonts w:hint="eastAsia"/>
          <w:lang w:eastAsia="zh-CN"/>
        </w:rPr>
        <w:t>s</w:t>
      </w:r>
      <w:r>
        <w:rPr>
          <w:lang w:eastAsia="zh-CN"/>
        </w:rPr>
        <w:t xml:space="preserve"> discussed in previous section, it is preferred to use regular NR-PDCCH structure for GC-PDCCH,</w:t>
      </w:r>
      <w:r w:rsidR="002622E8">
        <w:rPr>
          <w:lang w:eastAsia="zh-CN"/>
        </w:rPr>
        <w:t xml:space="preserve"> </w:t>
      </w:r>
      <w:r>
        <w:rPr>
          <w:lang w:eastAsia="zh-CN"/>
        </w:rPr>
        <w:t>the detection performance can be guaranteed. If the UE miss the detection of the GC-PDCCH, UE should treat this as SFI is not transmitted, and then UE follows the slot format indicated by semi-static signaling or other mechanisms.</w:t>
      </w:r>
      <w:r>
        <w:rPr>
          <w:rFonts w:hint="eastAsia"/>
          <w:lang w:eastAsia="zh-CN"/>
        </w:rPr>
        <w:t xml:space="preserve"> </w:t>
      </w:r>
      <w:r>
        <w:rPr>
          <w:lang w:eastAsia="zh-CN"/>
        </w:rPr>
        <w:t>However, the UE behavior on the “Unknown”</w:t>
      </w:r>
      <w:r w:rsidR="00AA4778">
        <w:rPr>
          <w:lang w:eastAsia="zh-CN"/>
        </w:rPr>
        <w:t xml:space="preserve"> state indicated in the semi-</w:t>
      </w:r>
      <w:r>
        <w:rPr>
          <w:lang w:eastAsia="zh-CN"/>
        </w:rPr>
        <w:t>static signaling should be clarified.</w:t>
      </w:r>
      <w:r w:rsidR="00ED0435">
        <w:rPr>
          <w:lang w:eastAsia="zh-CN"/>
        </w:rPr>
        <w:t xml:space="preserve"> In our understanding, there is no need to have PDCCH monitoring in the symbols indicated as “Unknown” unless otherwise overwritten by other mechanisms.</w:t>
      </w:r>
    </w:p>
    <w:p w14:paraId="322F18F6" w14:textId="2C575A8B" w:rsidR="00341FBA" w:rsidRPr="00E03B91" w:rsidRDefault="00341FBA" w:rsidP="00341FBA">
      <w:pPr>
        <w:rPr>
          <w:b/>
          <w:i/>
        </w:rPr>
      </w:pPr>
      <w:r>
        <w:rPr>
          <w:b/>
          <w:i/>
        </w:rPr>
        <w:t>Proposal 5</w:t>
      </w:r>
      <w:r w:rsidRPr="00E03B91">
        <w:rPr>
          <w:b/>
          <w:i/>
        </w:rPr>
        <w:t xml:space="preserve">: </w:t>
      </w:r>
      <w:r w:rsidR="009755A7" w:rsidRPr="009755A7">
        <w:rPr>
          <w:b/>
          <w:i/>
        </w:rPr>
        <w:t>If the UE miss the detection of the GC-PDCCH, UE should treat this as SFI is not transmitted</w:t>
      </w:r>
      <w:r w:rsidRPr="00E03B91">
        <w:rPr>
          <w:b/>
          <w:i/>
        </w:rPr>
        <w:t>.</w:t>
      </w:r>
    </w:p>
    <w:p w14:paraId="37CD6AF0" w14:textId="77777777" w:rsidR="00ED0435" w:rsidRPr="00341FBA" w:rsidRDefault="00ED0435" w:rsidP="0043740C">
      <w:pPr>
        <w:rPr>
          <w:lang w:eastAsia="zh-CN"/>
        </w:rPr>
      </w:pPr>
    </w:p>
    <w:p w14:paraId="45D6222F" w14:textId="77777777" w:rsidR="00ED0435" w:rsidRPr="0043740C" w:rsidRDefault="00ED0435" w:rsidP="0043740C">
      <w:pPr>
        <w:rPr>
          <w:lang w:eastAsia="zh-CN"/>
        </w:rPr>
      </w:pPr>
    </w:p>
    <w:p w14:paraId="44E836FD" w14:textId="77777777" w:rsidR="00100A98" w:rsidRPr="00086E01" w:rsidRDefault="00100A98" w:rsidP="005D6354">
      <w:pPr>
        <w:pBdr>
          <w:bottom w:val="single" w:sz="12" w:space="1" w:color="auto"/>
        </w:pBdr>
        <w:rPr>
          <w:color w:val="000000"/>
          <w:lang w:eastAsia="zh-CN"/>
        </w:rPr>
      </w:pPr>
    </w:p>
    <w:p w14:paraId="1641D776" w14:textId="77777777" w:rsidR="005D6354" w:rsidRDefault="005D6354" w:rsidP="005D6354">
      <w:pPr>
        <w:pStyle w:val="1"/>
        <w:rPr>
          <w:kern w:val="2"/>
          <w:lang w:eastAsia="zh-CN"/>
        </w:rPr>
      </w:pPr>
      <w:r>
        <w:rPr>
          <w:kern w:val="2"/>
          <w:lang w:eastAsia="zh-CN"/>
        </w:rPr>
        <w:t>Conclusions</w:t>
      </w:r>
    </w:p>
    <w:p w14:paraId="76F37E50" w14:textId="7AFC8184" w:rsidR="005D6354" w:rsidRDefault="005D6354" w:rsidP="005D6354">
      <w:pPr>
        <w:rPr>
          <w:szCs w:val="24"/>
          <w:lang w:eastAsia="zh-CN"/>
        </w:rPr>
      </w:pPr>
      <w:r>
        <w:rPr>
          <w:szCs w:val="24"/>
          <w:lang w:eastAsia="zh-CN"/>
        </w:rPr>
        <w:t>I</w:t>
      </w:r>
      <w:r>
        <w:rPr>
          <w:rFonts w:hint="eastAsia"/>
          <w:szCs w:val="24"/>
          <w:lang w:eastAsia="zh-CN"/>
        </w:rPr>
        <w:t xml:space="preserve">n </w:t>
      </w:r>
      <w:r>
        <w:rPr>
          <w:szCs w:val="24"/>
          <w:lang w:eastAsia="zh-CN"/>
        </w:rPr>
        <w:t xml:space="preserve">this contribution, we present the discussion on </w:t>
      </w:r>
      <w:r w:rsidR="009755A7">
        <w:rPr>
          <w:rFonts w:eastAsia="MS Mincho"/>
        </w:rPr>
        <w:t>remaining issues</w:t>
      </w:r>
      <w:r w:rsidR="00EB7DDD">
        <w:rPr>
          <w:rFonts w:eastAsia="MS Mincho"/>
        </w:rPr>
        <w:t xml:space="preserve"> </w:t>
      </w:r>
      <w:r w:rsidR="00493141">
        <w:rPr>
          <w:rFonts w:eastAsia="MS Mincho"/>
        </w:rPr>
        <w:t>of the group common PDCCH</w:t>
      </w:r>
      <w:r>
        <w:rPr>
          <w:szCs w:val="24"/>
          <w:lang w:eastAsia="zh-CN"/>
        </w:rPr>
        <w:t>. Based on our analysis, we have the following proposals:</w:t>
      </w:r>
    </w:p>
    <w:p w14:paraId="7E897EF7" w14:textId="7200EA19" w:rsidR="009755A7" w:rsidRDefault="009755A7" w:rsidP="009755A7">
      <w:pPr>
        <w:rPr>
          <w:b/>
          <w:i/>
          <w:color w:val="000000"/>
          <w:lang w:eastAsia="zh-CN"/>
        </w:rPr>
      </w:pPr>
      <w:r w:rsidRPr="00F90599">
        <w:rPr>
          <w:b/>
          <w:i/>
          <w:lang w:eastAsia="zh-CN"/>
        </w:rPr>
        <w:t xml:space="preserve">Proposal 1: </w:t>
      </w:r>
      <w:r w:rsidRPr="00F90599">
        <w:rPr>
          <w:b/>
          <w:i/>
          <w:color w:val="000000"/>
          <w:lang w:eastAsia="zh-CN"/>
        </w:rPr>
        <w:t>The group common PDCCH is transmitted using a NR-PDCCH structure.</w:t>
      </w:r>
    </w:p>
    <w:p w14:paraId="05AB525E" w14:textId="77777777" w:rsidR="002622E8" w:rsidRPr="0014665B" w:rsidRDefault="002622E8" w:rsidP="009755A7">
      <w:pPr>
        <w:rPr>
          <w:b/>
          <w:i/>
          <w:color w:val="000000"/>
          <w:lang w:eastAsia="zh-CN"/>
        </w:rPr>
      </w:pPr>
    </w:p>
    <w:p w14:paraId="439B2DA8" w14:textId="77777777" w:rsidR="005C3017" w:rsidRPr="00F90599" w:rsidRDefault="005C3017" w:rsidP="005C3017">
      <w:pPr>
        <w:rPr>
          <w:b/>
          <w:i/>
          <w:lang w:eastAsia="zh-CN"/>
        </w:rPr>
      </w:pPr>
      <w:r w:rsidRPr="00F90599">
        <w:rPr>
          <w:b/>
          <w:i/>
          <w:lang w:eastAsia="zh-CN"/>
        </w:rPr>
        <w:lastRenderedPageBreak/>
        <w:t xml:space="preserve">Proposal 2: The </w:t>
      </w:r>
      <w:r>
        <w:rPr>
          <w:b/>
          <w:i/>
          <w:lang w:eastAsia="zh-CN"/>
        </w:rPr>
        <w:t xml:space="preserve">number of </w:t>
      </w:r>
      <w:r w:rsidRPr="00F90599">
        <w:rPr>
          <w:b/>
          <w:i/>
          <w:lang w:eastAsia="zh-CN"/>
        </w:rPr>
        <w:t>blind decod</w:t>
      </w:r>
      <w:r>
        <w:rPr>
          <w:b/>
          <w:i/>
          <w:lang w:eastAsia="zh-CN"/>
        </w:rPr>
        <w:t>ing</w:t>
      </w:r>
      <w:r w:rsidRPr="00F90599">
        <w:rPr>
          <w:b/>
          <w:i/>
          <w:lang w:eastAsia="zh-CN"/>
        </w:rPr>
        <w:t xml:space="preserve"> </w:t>
      </w:r>
      <w:r>
        <w:rPr>
          <w:b/>
          <w:i/>
          <w:lang w:eastAsia="zh-CN"/>
        </w:rPr>
        <w:t>for</w:t>
      </w:r>
      <w:r w:rsidRPr="00F90599">
        <w:rPr>
          <w:b/>
          <w:i/>
          <w:lang w:eastAsia="zh-CN"/>
        </w:rPr>
        <w:t xml:space="preserve"> the GC-PDCCH should be counted towards the budget e.g, 44 blind decodes for the 15kHz SCS.</w:t>
      </w:r>
    </w:p>
    <w:p w14:paraId="4D89D6C9" w14:textId="77777777" w:rsidR="009755A7" w:rsidRPr="009755A7" w:rsidRDefault="009755A7" w:rsidP="009755A7">
      <w:pPr>
        <w:rPr>
          <w:b/>
          <w:i/>
          <w:lang w:eastAsia="zh-CN"/>
        </w:rPr>
      </w:pPr>
    </w:p>
    <w:p w14:paraId="673F3333" w14:textId="77777777" w:rsidR="000557BC" w:rsidRPr="00F90599" w:rsidRDefault="000557BC" w:rsidP="000557BC">
      <w:pPr>
        <w:rPr>
          <w:b/>
          <w:i/>
          <w:lang w:eastAsia="zh-CN"/>
        </w:rPr>
      </w:pPr>
      <w:r w:rsidRPr="00F90599">
        <w:rPr>
          <w:b/>
          <w:i/>
          <w:lang w:eastAsia="zh-CN"/>
        </w:rPr>
        <w:t xml:space="preserve">Proposal 3: UE-specific data </w:t>
      </w:r>
      <w:r>
        <w:rPr>
          <w:b/>
          <w:i/>
          <w:lang w:eastAsia="zh-CN"/>
        </w:rPr>
        <w:t xml:space="preserve">can be </w:t>
      </w:r>
      <w:r w:rsidRPr="00F90599">
        <w:rPr>
          <w:b/>
          <w:i/>
          <w:lang w:eastAsia="zh-CN"/>
        </w:rPr>
        <w:t xml:space="preserve">overwritten by “unknown” in </w:t>
      </w:r>
      <w:r>
        <w:rPr>
          <w:b/>
          <w:i/>
          <w:lang w:eastAsia="zh-CN"/>
        </w:rPr>
        <w:t xml:space="preserve">later arriving </w:t>
      </w:r>
      <w:r w:rsidRPr="00F90599">
        <w:rPr>
          <w:b/>
          <w:i/>
          <w:lang w:eastAsia="zh-CN"/>
        </w:rPr>
        <w:t>dynamic SFI</w:t>
      </w:r>
    </w:p>
    <w:p w14:paraId="7E9C1685" w14:textId="77777777" w:rsidR="000557BC" w:rsidRPr="00F90599" w:rsidRDefault="000557BC" w:rsidP="000557BC">
      <w:pPr>
        <w:pStyle w:val="af"/>
        <w:widowControl w:val="0"/>
        <w:numPr>
          <w:ilvl w:val="0"/>
          <w:numId w:val="22"/>
        </w:numPr>
        <w:autoSpaceDE/>
        <w:autoSpaceDN/>
        <w:adjustRightInd/>
        <w:snapToGrid/>
        <w:spacing w:after="0"/>
        <w:ind w:firstLineChars="0"/>
        <w:rPr>
          <w:b/>
          <w:i/>
        </w:rPr>
      </w:pPr>
      <w:r w:rsidRPr="00F90599">
        <w:rPr>
          <w:b/>
          <w:i/>
        </w:rPr>
        <w:t>UE behavior will be the cancellation of the data reception or data related transmission</w:t>
      </w:r>
    </w:p>
    <w:p w14:paraId="4CE27CEB" w14:textId="77777777" w:rsidR="009755A7" w:rsidRDefault="009755A7" w:rsidP="009755A7">
      <w:pPr>
        <w:rPr>
          <w:b/>
          <w:i/>
        </w:rPr>
      </w:pPr>
    </w:p>
    <w:p w14:paraId="75A60563" w14:textId="77777777" w:rsidR="009755A7" w:rsidRPr="00E03B91" w:rsidRDefault="009755A7" w:rsidP="009755A7">
      <w:pPr>
        <w:rPr>
          <w:b/>
          <w:i/>
          <w:lang w:eastAsia="zh-CN"/>
        </w:rPr>
      </w:pPr>
      <w:r w:rsidRPr="00E03B91">
        <w:rPr>
          <w:b/>
          <w:i/>
        </w:rPr>
        <w:t>Proposal 4: UE follows the slot formats indicated in the latest signaling in case of the conflicting between the same types of signaling.</w:t>
      </w:r>
    </w:p>
    <w:p w14:paraId="18047739" w14:textId="77777777" w:rsidR="009755A7" w:rsidRPr="009755A7" w:rsidRDefault="009755A7" w:rsidP="005D6354">
      <w:pPr>
        <w:rPr>
          <w:szCs w:val="24"/>
          <w:lang w:eastAsia="zh-CN"/>
        </w:rPr>
      </w:pPr>
    </w:p>
    <w:p w14:paraId="0A758513" w14:textId="77777777" w:rsidR="009755A7" w:rsidRPr="00E03B91" w:rsidRDefault="009755A7" w:rsidP="009755A7">
      <w:pPr>
        <w:rPr>
          <w:b/>
          <w:i/>
        </w:rPr>
      </w:pPr>
      <w:r>
        <w:rPr>
          <w:b/>
          <w:i/>
        </w:rPr>
        <w:t>Proposal 5</w:t>
      </w:r>
      <w:r w:rsidRPr="00E03B91">
        <w:rPr>
          <w:b/>
          <w:i/>
        </w:rPr>
        <w:t xml:space="preserve">: </w:t>
      </w:r>
      <w:r w:rsidRPr="009755A7">
        <w:rPr>
          <w:b/>
          <w:i/>
        </w:rPr>
        <w:t>If the UE miss the detection of the GC-PDCCH, UE should treat this as SFI is not transmitted</w:t>
      </w:r>
      <w:r w:rsidRPr="00E03B91">
        <w:rPr>
          <w:b/>
          <w:i/>
        </w:rPr>
        <w:t>.</w:t>
      </w:r>
    </w:p>
    <w:p w14:paraId="279CDE5A" w14:textId="77777777" w:rsidR="00031F1F" w:rsidRPr="00031F1F" w:rsidRDefault="00031F1F" w:rsidP="0043037D">
      <w:pPr>
        <w:widowControl w:val="0"/>
        <w:pBdr>
          <w:bottom w:val="single" w:sz="12" w:space="1" w:color="auto"/>
        </w:pBdr>
        <w:rPr>
          <w:b/>
          <w:i/>
          <w:color w:val="000000"/>
          <w:lang w:eastAsia="zh-CN"/>
        </w:rPr>
      </w:pPr>
    </w:p>
    <w:p w14:paraId="1000451A" w14:textId="77777777" w:rsidR="005D6354" w:rsidRDefault="005D6354" w:rsidP="005D6354">
      <w:pPr>
        <w:pStyle w:val="1"/>
      </w:pPr>
      <w:r>
        <w:t>References</w:t>
      </w:r>
    </w:p>
    <w:p w14:paraId="7567BF7F" w14:textId="2B4131B9" w:rsidR="005D6354" w:rsidRDefault="009C4FA5" w:rsidP="00BF6932">
      <w:pPr>
        <w:widowControl w:val="0"/>
        <w:numPr>
          <w:ilvl w:val="0"/>
          <w:numId w:val="6"/>
        </w:numPr>
        <w:autoSpaceDE/>
        <w:autoSpaceDN/>
        <w:adjustRightInd/>
        <w:snapToGrid/>
      </w:pPr>
      <w:r>
        <w:rPr>
          <w:lang w:eastAsia="zh-CN"/>
        </w:rPr>
        <w:t>3GPP RAN1</w:t>
      </w:r>
      <w:r w:rsidR="004C4B20">
        <w:rPr>
          <w:lang w:eastAsia="zh-CN"/>
        </w:rPr>
        <w:t xml:space="preserve"> 90bis</w:t>
      </w:r>
      <w:r>
        <w:rPr>
          <w:lang w:eastAsia="zh-CN"/>
        </w:rPr>
        <w:t xml:space="preserve"> chairman’s notes</w:t>
      </w:r>
    </w:p>
    <w:p w14:paraId="3066E4D4" w14:textId="6C8E6E20" w:rsidR="00200AE6" w:rsidRPr="005D6354" w:rsidRDefault="00200AE6" w:rsidP="005D6354">
      <w:bookmarkStart w:id="0" w:name="_GoBack"/>
      <w:bookmarkEnd w:id="0"/>
    </w:p>
    <w:sectPr w:rsidR="00200AE6" w:rsidRPr="005D6354" w:rsidSect="009E64D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E90F3" w14:textId="77777777" w:rsidR="003D496C" w:rsidRDefault="003D496C">
      <w:r>
        <w:separator/>
      </w:r>
    </w:p>
  </w:endnote>
  <w:endnote w:type="continuationSeparator" w:id="0">
    <w:p w14:paraId="00D1DCA6" w14:textId="77777777" w:rsidR="003D496C" w:rsidRDefault="003D4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853EC" w14:textId="77777777" w:rsidR="003D496C" w:rsidRDefault="003D496C">
      <w:r>
        <w:separator/>
      </w:r>
    </w:p>
  </w:footnote>
  <w:footnote w:type="continuationSeparator" w:id="0">
    <w:p w14:paraId="38435203" w14:textId="77777777" w:rsidR="003D496C" w:rsidRDefault="003D49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42C52"/>
    <w:multiLevelType w:val="hybridMultilevel"/>
    <w:tmpl w:val="AFE467B4"/>
    <w:lvl w:ilvl="0" w:tplc="CB948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9081E8D"/>
    <w:multiLevelType w:val="hybridMultilevel"/>
    <w:tmpl w:val="987441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B453E7"/>
    <w:multiLevelType w:val="hybridMultilevel"/>
    <w:tmpl w:val="65F4AAD4"/>
    <w:lvl w:ilvl="0" w:tplc="9FC02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7">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113A97"/>
    <w:multiLevelType w:val="hybridMultilevel"/>
    <w:tmpl w:val="AC0498D6"/>
    <w:lvl w:ilvl="0" w:tplc="FD60D770">
      <w:start w:val="1"/>
      <w:numFmt w:val="bullet"/>
      <w:lvlText w:val="•"/>
      <w:lvlJc w:val="left"/>
      <w:pPr>
        <w:tabs>
          <w:tab w:val="num" w:pos="720"/>
        </w:tabs>
        <w:ind w:left="720" w:hanging="360"/>
      </w:pPr>
      <w:rPr>
        <w:rFonts w:ascii="Arial" w:hAnsi="Arial" w:hint="default"/>
      </w:rPr>
    </w:lvl>
    <w:lvl w:ilvl="1" w:tplc="6590BE3C">
      <w:numFmt w:val="bullet"/>
      <w:lvlText w:val="•"/>
      <w:lvlJc w:val="left"/>
      <w:pPr>
        <w:tabs>
          <w:tab w:val="num" w:pos="1440"/>
        </w:tabs>
        <w:ind w:left="1440" w:hanging="360"/>
      </w:pPr>
      <w:rPr>
        <w:rFonts w:ascii="Arial" w:hAnsi="Arial" w:hint="default"/>
      </w:rPr>
    </w:lvl>
    <w:lvl w:ilvl="2" w:tplc="948665F2">
      <w:numFmt w:val="bullet"/>
      <w:lvlText w:val="•"/>
      <w:lvlJc w:val="left"/>
      <w:pPr>
        <w:tabs>
          <w:tab w:val="num" w:pos="2160"/>
        </w:tabs>
        <w:ind w:left="2160" w:hanging="360"/>
      </w:pPr>
      <w:rPr>
        <w:rFonts w:ascii="Arial" w:hAnsi="Arial" w:hint="default"/>
      </w:rPr>
    </w:lvl>
    <w:lvl w:ilvl="3" w:tplc="631E05D6">
      <w:numFmt w:val="bullet"/>
      <w:lvlText w:val="•"/>
      <w:lvlJc w:val="left"/>
      <w:pPr>
        <w:tabs>
          <w:tab w:val="num" w:pos="2880"/>
        </w:tabs>
        <w:ind w:left="2880" w:hanging="360"/>
      </w:pPr>
      <w:rPr>
        <w:rFonts w:ascii="Arial" w:hAnsi="Arial" w:hint="default"/>
      </w:rPr>
    </w:lvl>
    <w:lvl w:ilvl="4" w:tplc="467448BA">
      <w:numFmt w:val="bullet"/>
      <w:lvlText w:val="•"/>
      <w:lvlJc w:val="left"/>
      <w:pPr>
        <w:tabs>
          <w:tab w:val="num" w:pos="3600"/>
        </w:tabs>
        <w:ind w:left="3600" w:hanging="360"/>
      </w:pPr>
      <w:rPr>
        <w:rFonts w:ascii="Arial" w:hAnsi="Arial" w:hint="default"/>
      </w:rPr>
    </w:lvl>
    <w:lvl w:ilvl="5" w:tplc="814CD3A0" w:tentative="1">
      <w:start w:val="1"/>
      <w:numFmt w:val="bullet"/>
      <w:lvlText w:val="•"/>
      <w:lvlJc w:val="left"/>
      <w:pPr>
        <w:tabs>
          <w:tab w:val="num" w:pos="4320"/>
        </w:tabs>
        <w:ind w:left="4320" w:hanging="360"/>
      </w:pPr>
      <w:rPr>
        <w:rFonts w:ascii="Arial" w:hAnsi="Arial" w:hint="default"/>
      </w:rPr>
    </w:lvl>
    <w:lvl w:ilvl="6" w:tplc="61DCD31C" w:tentative="1">
      <w:start w:val="1"/>
      <w:numFmt w:val="bullet"/>
      <w:lvlText w:val="•"/>
      <w:lvlJc w:val="left"/>
      <w:pPr>
        <w:tabs>
          <w:tab w:val="num" w:pos="5040"/>
        </w:tabs>
        <w:ind w:left="5040" w:hanging="360"/>
      </w:pPr>
      <w:rPr>
        <w:rFonts w:ascii="Arial" w:hAnsi="Arial" w:hint="default"/>
      </w:rPr>
    </w:lvl>
    <w:lvl w:ilvl="7" w:tplc="9454E1DC" w:tentative="1">
      <w:start w:val="1"/>
      <w:numFmt w:val="bullet"/>
      <w:lvlText w:val="•"/>
      <w:lvlJc w:val="left"/>
      <w:pPr>
        <w:tabs>
          <w:tab w:val="num" w:pos="5760"/>
        </w:tabs>
        <w:ind w:left="5760" w:hanging="360"/>
      </w:pPr>
      <w:rPr>
        <w:rFonts w:ascii="Arial" w:hAnsi="Arial" w:hint="default"/>
      </w:rPr>
    </w:lvl>
    <w:lvl w:ilvl="8" w:tplc="53463BC2" w:tentative="1">
      <w:start w:val="1"/>
      <w:numFmt w:val="bullet"/>
      <w:lvlText w:val="•"/>
      <w:lvlJc w:val="left"/>
      <w:pPr>
        <w:tabs>
          <w:tab w:val="num" w:pos="6480"/>
        </w:tabs>
        <w:ind w:left="6480" w:hanging="360"/>
      </w:pPr>
      <w:rPr>
        <w:rFonts w:ascii="Arial" w:hAnsi="Arial" w:hint="default"/>
      </w:rPr>
    </w:lvl>
  </w:abstractNum>
  <w:abstractNum w:abstractNumId="11">
    <w:nsid w:val="38CC1731"/>
    <w:multiLevelType w:val="hybridMultilevel"/>
    <w:tmpl w:val="E4B6B21C"/>
    <w:lvl w:ilvl="0" w:tplc="6762AED8">
      <w:start w:val="1"/>
      <w:numFmt w:val="bullet"/>
      <w:lvlText w:val="•"/>
      <w:lvlJc w:val="left"/>
      <w:pPr>
        <w:tabs>
          <w:tab w:val="num" w:pos="720"/>
        </w:tabs>
        <w:ind w:left="720" w:hanging="360"/>
      </w:pPr>
      <w:rPr>
        <w:rFonts w:ascii="Arial" w:hAnsi="Arial" w:hint="default"/>
      </w:rPr>
    </w:lvl>
    <w:lvl w:ilvl="1" w:tplc="2AA09EFC">
      <w:numFmt w:val="bullet"/>
      <w:lvlText w:val="•"/>
      <w:lvlJc w:val="left"/>
      <w:pPr>
        <w:tabs>
          <w:tab w:val="num" w:pos="1440"/>
        </w:tabs>
        <w:ind w:left="1440" w:hanging="360"/>
      </w:pPr>
      <w:rPr>
        <w:rFonts w:ascii="Arial" w:hAnsi="Arial" w:hint="default"/>
      </w:rPr>
    </w:lvl>
    <w:lvl w:ilvl="2" w:tplc="ABDED6D0">
      <w:numFmt w:val="bullet"/>
      <w:lvlText w:val="•"/>
      <w:lvlJc w:val="left"/>
      <w:pPr>
        <w:tabs>
          <w:tab w:val="num" w:pos="2160"/>
        </w:tabs>
        <w:ind w:left="2160" w:hanging="360"/>
      </w:pPr>
      <w:rPr>
        <w:rFonts w:ascii="Arial" w:hAnsi="Arial" w:hint="default"/>
      </w:rPr>
    </w:lvl>
    <w:lvl w:ilvl="3" w:tplc="A074152A" w:tentative="1">
      <w:start w:val="1"/>
      <w:numFmt w:val="bullet"/>
      <w:lvlText w:val="•"/>
      <w:lvlJc w:val="left"/>
      <w:pPr>
        <w:tabs>
          <w:tab w:val="num" w:pos="2880"/>
        </w:tabs>
        <w:ind w:left="2880" w:hanging="360"/>
      </w:pPr>
      <w:rPr>
        <w:rFonts w:ascii="Arial" w:hAnsi="Arial" w:hint="default"/>
      </w:rPr>
    </w:lvl>
    <w:lvl w:ilvl="4" w:tplc="47F2A722" w:tentative="1">
      <w:start w:val="1"/>
      <w:numFmt w:val="bullet"/>
      <w:lvlText w:val="•"/>
      <w:lvlJc w:val="left"/>
      <w:pPr>
        <w:tabs>
          <w:tab w:val="num" w:pos="3600"/>
        </w:tabs>
        <w:ind w:left="3600" w:hanging="360"/>
      </w:pPr>
      <w:rPr>
        <w:rFonts w:ascii="Arial" w:hAnsi="Arial" w:hint="default"/>
      </w:rPr>
    </w:lvl>
    <w:lvl w:ilvl="5" w:tplc="344E0508" w:tentative="1">
      <w:start w:val="1"/>
      <w:numFmt w:val="bullet"/>
      <w:lvlText w:val="•"/>
      <w:lvlJc w:val="left"/>
      <w:pPr>
        <w:tabs>
          <w:tab w:val="num" w:pos="4320"/>
        </w:tabs>
        <w:ind w:left="4320" w:hanging="360"/>
      </w:pPr>
      <w:rPr>
        <w:rFonts w:ascii="Arial" w:hAnsi="Arial" w:hint="default"/>
      </w:rPr>
    </w:lvl>
    <w:lvl w:ilvl="6" w:tplc="4CF4C076" w:tentative="1">
      <w:start w:val="1"/>
      <w:numFmt w:val="bullet"/>
      <w:lvlText w:val="•"/>
      <w:lvlJc w:val="left"/>
      <w:pPr>
        <w:tabs>
          <w:tab w:val="num" w:pos="5040"/>
        </w:tabs>
        <w:ind w:left="5040" w:hanging="360"/>
      </w:pPr>
      <w:rPr>
        <w:rFonts w:ascii="Arial" w:hAnsi="Arial" w:hint="default"/>
      </w:rPr>
    </w:lvl>
    <w:lvl w:ilvl="7" w:tplc="1F0445C0" w:tentative="1">
      <w:start w:val="1"/>
      <w:numFmt w:val="bullet"/>
      <w:lvlText w:val="•"/>
      <w:lvlJc w:val="left"/>
      <w:pPr>
        <w:tabs>
          <w:tab w:val="num" w:pos="5760"/>
        </w:tabs>
        <w:ind w:left="5760" w:hanging="360"/>
      </w:pPr>
      <w:rPr>
        <w:rFonts w:ascii="Arial" w:hAnsi="Arial" w:hint="default"/>
      </w:rPr>
    </w:lvl>
    <w:lvl w:ilvl="8" w:tplc="56AC9142" w:tentative="1">
      <w:start w:val="1"/>
      <w:numFmt w:val="bullet"/>
      <w:lvlText w:val="•"/>
      <w:lvlJc w:val="left"/>
      <w:pPr>
        <w:tabs>
          <w:tab w:val="num" w:pos="6480"/>
        </w:tabs>
        <w:ind w:left="6480" w:hanging="360"/>
      </w:pPr>
      <w:rPr>
        <w:rFonts w:ascii="Arial" w:hAnsi="Arial"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7375BD2"/>
    <w:multiLevelType w:val="hybridMultilevel"/>
    <w:tmpl w:val="C3F88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98411D5"/>
    <w:multiLevelType w:val="hybridMultilevel"/>
    <w:tmpl w:val="A058DB5C"/>
    <w:lvl w:ilvl="0" w:tplc="EA3EEADA">
      <w:start w:val="1"/>
      <w:numFmt w:val="bullet"/>
      <w:lvlText w:val="•"/>
      <w:lvlJc w:val="left"/>
      <w:pPr>
        <w:tabs>
          <w:tab w:val="num" w:pos="360"/>
        </w:tabs>
        <w:ind w:left="360" w:hanging="360"/>
      </w:pPr>
      <w:rPr>
        <w:rFonts w:ascii="Arial" w:hAnsi="Arial" w:hint="default"/>
      </w:rPr>
    </w:lvl>
    <w:lvl w:ilvl="1" w:tplc="4006AACE">
      <w:numFmt w:val="bullet"/>
      <w:lvlText w:val="•"/>
      <w:lvlJc w:val="left"/>
      <w:pPr>
        <w:tabs>
          <w:tab w:val="num" w:pos="1080"/>
        </w:tabs>
        <w:ind w:left="1080" w:hanging="360"/>
      </w:pPr>
      <w:rPr>
        <w:rFonts w:ascii="Arial" w:hAnsi="Arial" w:hint="default"/>
      </w:rPr>
    </w:lvl>
    <w:lvl w:ilvl="2" w:tplc="4AA4FAC6">
      <w:start w:val="1"/>
      <w:numFmt w:val="bullet"/>
      <w:lvlText w:val="•"/>
      <w:lvlJc w:val="left"/>
      <w:pPr>
        <w:tabs>
          <w:tab w:val="num" w:pos="1800"/>
        </w:tabs>
        <w:ind w:left="1800" w:hanging="360"/>
      </w:pPr>
      <w:rPr>
        <w:rFonts w:ascii="Arial" w:hAnsi="Arial" w:hint="default"/>
      </w:rPr>
    </w:lvl>
    <w:lvl w:ilvl="3" w:tplc="24A41F1E">
      <w:start w:val="1"/>
      <w:numFmt w:val="bullet"/>
      <w:lvlText w:val="•"/>
      <w:lvlJc w:val="left"/>
      <w:pPr>
        <w:tabs>
          <w:tab w:val="num" w:pos="2520"/>
        </w:tabs>
        <w:ind w:left="2520" w:hanging="360"/>
      </w:pPr>
      <w:rPr>
        <w:rFonts w:ascii="Arial" w:hAnsi="Arial" w:hint="default"/>
      </w:rPr>
    </w:lvl>
    <w:lvl w:ilvl="4" w:tplc="46324242" w:tentative="1">
      <w:start w:val="1"/>
      <w:numFmt w:val="bullet"/>
      <w:lvlText w:val="•"/>
      <w:lvlJc w:val="left"/>
      <w:pPr>
        <w:tabs>
          <w:tab w:val="num" w:pos="3240"/>
        </w:tabs>
        <w:ind w:left="3240" w:hanging="360"/>
      </w:pPr>
      <w:rPr>
        <w:rFonts w:ascii="Arial" w:hAnsi="Arial" w:hint="default"/>
      </w:rPr>
    </w:lvl>
    <w:lvl w:ilvl="5" w:tplc="3CD07A0A" w:tentative="1">
      <w:start w:val="1"/>
      <w:numFmt w:val="bullet"/>
      <w:lvlText w:val="•"/>
      <w:lvlJc w:val="left"/>
      <w:pPr>
        <w:tabs>
          <w:tab w:val="num" w:pos="3960"/>
        </w:tabs>
        <w:ind w:left="3960" w:hanging="360"/>
      </w:pPr>
      <w:rPr>
        <w:rFonts w:ascii="Arial" w:hAnsi="Arial" w:hint="default"/>
      </w:rPr>
    </w:lvl>
    <w:lvl w:ilvl="6" w:tplc="75720B02" w:tentative="1">
      <w:start w:val="1"/>
      <w:numFmt w:val="bullet"/>
      <w:lvlText w:val="•"/>
      <w:lvlJc w:val="left"/>
      <w:pPr>
        <w:tabs>
          <w:tab w:val="num" w:pos="4680"/>
        </w:tabs>
        <w:ind w:left="4680" w:hanging="360"/>
      </w:pPr>
      <w:rPr>
        <w:rFonts w:ascii="Arial" w:hAnsi="Arial" w:hint="default"/>
      </w:rPr>
    </w:lvl>
    <w:lvl w:ilvl="7" w:tplc="B5FAB70A" w:tentative="1">
      <w:start w:val="1"/>
      <w:numFmt w:val="bullet"/>
      <w:lvlText w:val="•"/>
      <w:lvlJc w:val="left"/>
      <w:pPr>
        <w:tabs>
          <w:tab w:val="num" w:pos="5400"/>
        </w:tabs>
        <w:ind w:left="5400" w:hanging="360"/>
      </w:pPr>
      <w:rPr>
        <w:rFonts w:ascii="Arial" w:hAnsi="Arial" w:hint="default"/>
      </w:rPr>
    </w:lvl>
    <w:lvl w:ilvl="8" w:tplc="96525CD2" w:tentative="1">
      <w:start w:val="1"/>
      <w:numFmt w:val="bullet"/>
      <w:lvlText w:val="•"/>
      <w:lvlJc w:val="left"/>
      <w:pPr>
        <w:tabs>
          <w:tab w:val="num" w:pos="6120"/>
        </w:tabs>
        <w:ind w:left="6120" w:hanging="360"/>
      </w:pPr>
      <w:rPr>
        <w:rFonts w:ascii="Arial" w:hAnsi="Arial" w:hint="default"/>
      </w:rPr>
    </w:lvl>
  </w:abstractNum>
  <w:abstractNum w:abstractNumId="15">
    <w:nsid w:val="4C9823E1"/>
    <w:multiLevelType w:val="hybridMultilevel"/>
    <w:tmpl w:val="600C3982"/>
    <w:lvl w:ilvl="0" w:tplc="A87E697E">
      <w:start w:val="1"/>
      <w:numFmt w:val="bullet"/>
      <w:lvlText w:val="•"/>
      <w:lvlJc w:val="left"/>
      <w:pPr>
        <w:tabs>
          <w:tab w:val="num" w:pos="720"/>
        </w:tabs>
        <w:ind w:left="720" w:hanging="360"/>
      </w:pPr>
      <w:rPr>
        <w:rFonts w:ascii="Arial" w:hAnsi="Arial" w:hint="default"/>
      </w:rPr>
    </w:lvl>
    <w:lvl w:ilvl="1" w:tplc="636A74A4">
      <w:numFmt w:val="bullet"/>
      <w:lvlText w:val="•"/>
      <w:lvlJc w:val="left"/>
      <w:pPr>
        <w:tabs>
          <w:tab w:val="num" w:pos="1440"/>
        </w:tabs>
        <w:ind w:left="1440" w:hanging="360"/>
      </w:pPr>
      <w:rPr>
        <w:rFonts w:ascii="Arial" w:hAnsi="Arial" w:hint="default"/>
      </w:rPr>
    </w:lvl>
    <w:lvl w:ilvl="2" w:tplc="279C172C">
      <w:numFmt w:val="bullet"/>
      <w:lvlText w:val="•"/>
      <w:lvlJc w:val="left"/>
      <w:pPr>
        <w:tabs>
          <w:tab w:val="num" w:pos="2160"/>
        </w:tabs>
        <w:ind w:left="2160" w:hanging="360"/>
      </w:pPr>
      <w:rPr>
        <w:rFonts w:ascii="Arial" w:hAnsi="Arial" w:hint="default"/>
      </w:rPr>
    </w:lvl>
    <w:lvl w:ilvl="3" w:tplc="70ECA508" w:tentative="1">
      <w:start w:val="1"/>
      <w:numFmt w:val="bullet"/>
      <w:lvlText w:val="•"/>
      <w:lvlJc w:val="left"/>
      <w:pPr>
        <w:tabs>
          <w:tab w:val="num" w:pos="2880"/>
        </w:tabs>
        <w:ind w:left="2880" w:hanging="360"/>
      </w:pPr>
      <w:rPr>
        <w:rFonts w:ascii="Arial" w:hAnsi="Arial" w:hint="default"/>
      </w:rPr>
    </w:lvl>
    <w:lvl w:ilvl="4" w:tplc="B22E2FF4" w:tentative="1">
      <w:start w:val="1"/>
      <w:numFmt w:val="bullet"/>
      <w:lvlText w:val="•"/>
      <w:lvlJc w:val="left"/>
      <w:pPr>
        <w:tabs>
          <w:tab w:val="num" w:pos="3600"/>
        </w:tabs>
        <w:ind w:left="3600" w:hanging="360"/>
      </w:pPr>
      <w:rPr>
        <w:rFonts w:ascii="Arial" w:hAnsi="Arial" w:hint="default"/>
      </w:rPr>
    </w:lvl>
    <w:lvl w:ilvl="5" w:tplc="0944EE76" w:tentative="1">
      <w:start w:val="1"/>
      <w:numFmt w:val="bullet"/>
      <w:lvlText w:val="•"/>
      <w:lvlJc w:val="left"/>
      <w:pPr>
        <w:tabs>
          <w:tab w:val="num" w:pos="4320"/>
        </w:tabs>
        <w:ind w:left="4320" w:hanging="360"/>
      </w:pPr>
      <w:rPr>
        <w:rFonts w:ascii="Arial" w:hAnsi="Arial" w:hint="default"/>
      </w:rPr>
    </w:lvl>
    <w:lvl w:ilvl="6" w:tplc="D84EA954" w:tentative="1">
      <w:start w:val="1"/>
      <w:numFmt w:val="bullet"/>
      <w:lvlText w:val="•"/>
      <w:lvlJc w:val="left"/>
      <w:pPr>
        <w:tabs>
          <w:tab w:val="num" w:pos="5040"/>
        </w:tabs>
        <w:ind w:left="5040" w:hanging="360"/>
      </w:pPr>
      <w:rPr>
        <w:rFonts w:ascii="Arial" w:hAnsi="Arial" w:hint="default"/>
      </w:rPr>
    </w:lvl>
    <w:lvl w:ilvl="7" w:tplc="943C44E2" w:tentative="1">
      <w:start w:val="1"/>
      <w:numFmt w:val="bullet"/>
      <w:lvlText w:val="•"/>
      <w:lvlJc w:val="left"/>
      <w:pPr>
        <w:tabs>
          <w:tab w:val="num" w:pos="5760"/>
        </w:tabs>
        <w:ind w:left="5760" w:hanging="360"/>
      </w:pPr>
      <w:rPr>
        <w:rFonts w:ascii="Arial" w:hAnsi="Arial" w:hint="default"/>
      </w:rPr>
    </w:lvl>
    <w:lvl w:ilvl="8" w:tplc="1FD22F74" w:tentative="1">
      <w:start w:val="1"/>
      <w:numFmt w:val="bullet"/>
      <w:lvlText w:val="•"/>
      <w:lvlJc w:val="left"/>
      <w:pPr>
        <w:tabs>
          <w:tab w:val="num" w:pos="6480"/>
        </w:tabs>
        <w:ind w:left="6480" w:hanging="360"/>
      </w:pPr>
      <w:rPr>
        <w:rFonts w:ascii="Arial" w:hAnsi="Arial" w:hint="default"/>
      </w:rPr>
    </w:lvl>
  </w:abstractNum>
  <w:abstractNum w:abstractNumId="16">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AF22B5"/>
    <w:multiLevelType w:val="hybridMultilevel"/>
    <w:tmpl w:val="F49CBC10"/>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9">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265DD5"/>
    <w:multiLevelType w:val="hybridMultilevel"/>
    <w:tmpl w:val="765E6F16"/>
    <w:lvl w:ilvl="0" w:tplc="7EC23D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22"/>
  </w:num>
  <w:num w:numId="4">
    <w:abstractNumId w:val="23"/>
  </w:num>
  <w:num w:numId="5">
    <w:abstractNumId w:val="16"/>
  </w:num>
  <w:num w:numId="6">
    <w:abstractNumId w:val="5"/>
  </w:num>
  <w:num w:numId="7">
    <w:abstractNumId w:val="9"/>
  </w:num>
  <w:num w:numId="8">
    <w:abstractNumId w:val="3"/>
  </w:num>
  <w:num w:numId="9">
    <w:abstractNumId w:val="6"/>
  </w:num>
  <w:num w:numId="10">
    <w:abstractNumId w:val="21"/>
  </w:num>
  <w:num w:numId="11">
    <w:abstractNumId w:val="14"/>
  </w:num>
  <w:num w:numId="12">
    <w:abstractNumId w:val="2"/>
  </w:num>
  <w:num w:numId="13">
    <w:abstractNumId w:val="0"/>
  </w:num>
  <w:num w:numId="14">
    <w:abstractNumId w:val="10"/>
  </w:num>
  <w:num w:numId="15">
    <w:abstractNumId w:val="15"/>
  </w:num>
  <w:num w:numId="16">
    <w:abstractNumId w:val="11"/>
  </w:num>
  <w:num w:numId="17">
    <w:abstractNumId w:val="8"/>
  </w:num>
  <w:num w:numId="18">
    <w:abstractNumId w:val="18"/>
  </w:num>
  <w:num w:numId="19">
    <w:abstractNumId w:val="4"/>
  </w:num>
  <w:num w:numId="20">
    <w:abstractNumId w:val="19"/>
  </w:num>
  <w:num w:numId="21">
    <w:abstractNumId w:val="17"/>
  </w:num>
  <w:num w:numId="22">
    <w:abstractNumId w:val="25"/>
  </w:num>
  <w:num w:numId="23">
    <w:abstractNumId w:val="20"/>
  </w:num>
  <w:num w:numId="24">
    <w:abstractNumId w:val="8"/>
  </w:num>
  <w:num w:numId="25">
    <w:abstractNumId w:val="7"/>
  </w:num>
  <w:num w:numId="26">
    <w:abstractNumId w:val="13"/>
  </w:num>
  <w:num w:numId="27">
    <w:abstractNumId w:val="1"/>
  </w:num>
  <w:num w:numId="28">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BBA"/>
    <w:rsid w:val="00000D04"/>
    <w:rsid w:val="00000DB2"/>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2DD"/>
    <w:rsid w:val="000054D6"/>
    <w:rsid w:val="000058D9"/>
    <w:rsid w:val="00005D67"/>
    <w:rsid w:val="00005DBA"/>
    <w:rsid w:val="00006847"/>
    <w:rsid w:val="000072B6"/>
    <w:rsid w:val="00007791"/>
    <w:rsid w:val="00007813"/>
    <w:rsid w:val="000078BB"/>
    <w:rsid w:val="00007F78"/>
    <w:rsid w:val="000104EA"/>
    <w:rsid w:val="0001074C"/>
    <w:rsid w:val="000109E6"/>
    <w:rsid w:val="00010A04"/>
    <w:rsid w:val="00011943"/>
    <w:rsid w:val="00011C60"/>
    <w:rsid w:val="00011F67"/>
    <w:rsid w:val="00012028"/>
    <w:rsid w:val="000126BF"/>
    <w:rsid w:val="0001279A"/>
    <w:rsid w:val="00012862"/>
    <w:rsid w:val="000128E6"/>
    <w:rsid w:val="0001371E"/>
    <w:rsid w:val="00013A54"/>
    <w:rsid w:val="00013EEE"/>
    <w:rsid w:val="00013F75"/>
    <w:rsid w:val="00014035"/>
    <w:rsid w:val="00014738"/>
    <w:rsid w:val="0001496B"/>
    <w:rsid w:val="00014FBF"/>
    <w:rsid w:val="00015377"/>
    <w:rsid w:val="00015D73"/>
    <w:rsid w:val="00015EFB"/>
    <w:rsid w:val="00016594"/>
    <w:rsid w:val="000165D2"/>
    <w:rsid w:val="000165E2"/>
    <w:rsid w:val="00016AB0"/>
    <w:rsid w:val="00016F8D"/>
    <w:rsid w:val="000172BE"/>
    <w:rsid w:val="000174A1"/>
    <w:rsid w:val="00017AD8"/>
    <w:rsid w:val="00017D8A"/>
    <w:rsid w:val="0002040D"/>
    <w:rsid w:val="0002059E"/>
    <w:rsid w:val="000210A9"/>
    <w:rsid w:val="000211EB"/>
    <w:rsid w:val="00021498"/>
    <w:rsid w:val="00021B29"/>
    <w:rsid w:val="00021C9A"/>
    <w:rsid w:val="00021E83"/>
    <w:rsid w:val="000227A5"/>
    <w:rsid w:val="00022977"/>
    <w:rsid w:val="00022E67"/>
    <w:rsid w:val="00023388"/>
    <w:rsid w:val="00023425"/>
    <w:rsid w:val="00023875"/>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90"/>
    <w:rsid w:val="00031ADB"/>
    <w:rsid w:val="00031F1F"/>
    <w:rsid w:val="00032056"/>
    <w:rsid w:val="000322D5"/>
    <w:rsid w:val="000328C2"/>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3E9"/>
    <w:rsid w:val="00036787"/>
    <w:rsid w:val="00036C2C"/>
    <w:rsid w:val="00036CF9"/>
    <w:rsid w:val="00036DFB"/>
    <w:rsid w:val="00037189"/>
    <w:rsid w:val="000374D6"/>
    <w:rsid w:val="00037AC6"/>
    <w:rsid w:val="00037AD3"/>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1D33"/>
    <w:rsid w:val="0004261C"/>
    <w:rsid w:val="0004269A"/>
    <w:rsid w:val="0004288D"/>
    <w:rsid w:val="000433F0"/>
    <w:rsid w:val="000434B7"/>
    <w:rsid w:val="000435E4"/>
    <w:rsid w:val="00043EB6"/>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EC9"/>
    <w:rsid w:val="00046FED"/>
    <w:rsid w:val="00047144"/>
    <w:rsid w:val="00047225"/>
    <w:rsid w:val="00047517"/>
    <w:rsid w:val="00047D5D"/>
    <w:rsid w:val="00047E60"/>
    <w:rsid w:val="000504E7"/>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7BC"/>
    <w:rsid w:val="00055BEE"/>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C4B"/>
    <w:rsid w:val="00073DEC"/>
    <w:rsid w:val="00073E6A"/>
    <w:rsid w:val="00074516"/>
    <w:rsid w:val="000745AA"/>
    <w:rsid w:val="0007465B"/>
    <w:rsid w:val="00074E86"/>
    <w:rsid w:val="000750B4"/>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B6A"/>
    <w:rsid w:val="00084065"/>
    <w:rsid w:val="000845C8"/>
    <w:rsid w:val="0008482A"/>
    <w:rsid w:val="00084E30"/>
    <w:rsid w:val="0008581C"/>
    <w:rsid w:val="00085E04"/>
    <w:rsid w:val="00085E2E"/>
    <w:rsid w:val="00085FA2"/>
    <w:rsid w:val="000866F8"/>
    <w:rsid w:val="00086756"/>
    <w:rsid w:val="00086800"/>
    <w:rsid w:val="00086CD3"/>
    <w:rsid w:val="00086E01"/>
    <w:rsid w:val="00087913"/>
    <w:rsid w:val="00087E9C"/>
    <w:rsid w:val="000902DC"/>
    <w:rsid w:val="00090E15"/>
    <w:rsid w:val="00091056"/>
    <w:rsid w:val="000911AE"/>
    <w:rsid w:val="000911E9"/>
    <w:rsid w:val="00091325"/>
    <w:rsid w:val="0009138F"/>
    <w:rsid w:val="000922BA"/>
    <w:rsid w:val="000929F2"/>
    <w:rsid w:val="00092FE1"/>
    <w:rsid w:val="00093697"/>
    <w:rsid w:val="00093D42"/>
    <w:rsid w:val="00094A16"/>
    <w:rsid w:val="00094D40"/>
    <w:rsid w:val="00094DE6"/>
    <w:rsid w:val="00094F43"/>
    <w:rsid w:val="000953E8"/>
    <w:rsid w:val="0009571F"/>
    <w:rsid w:val="00095AA6"/>
    <w:rsid w:val="00095CCF"/>
    <w:rsid w:val="00096356"/>
    <w:rsid w:val="00096938"/>
    <w:rsid w:val="00096EBB"/>
    <w:rsid w:val="00096F8F"/>
    <w:rsid w:val="000974A6"/>
    <w:rsid w:val="000975AF"/>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008"/>
    <w:rsid w:val="000A4205"/>
    <w:rsid w:val="000A434E"/>
    <w:rsid w:val="000A486D"/>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4FA"/>
    <w:rsid w:val="000B0545"/>
    <w:rsid w:val="000B06DB"/>
    <w:rsid w:val="000B08B0"/>
    <w:rsid w:val="000B0C68"/>
    <w:rsid w:val="000B0CC9"/>
    <w:rsid w:val="000B1049"/>
    <w:rsid w:val="000B117A"/>
    <w:rsid w:val="000B173F"/>
    <w:rsid w:val="000B197E"/>
    <w:rsid w:val="000B21D4"/>
    <w:rsid w:val="000B24A6"/>
    <w:rsid w:val="000B288F"/>
    <w:rsid w:val="000B2954"/>
    <w:rsid w:val="000B2985"/>
    <w:rsid w:val="000B2A48"/>
    <w:rsid w:val="000B2A95"/>
    <w:rsid w:val="000B2C55"/>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42A"/>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23A9"/>
    <w:rsid w:val="000C252B"/>
    <w:rsid w:val="000C2FBD"/>
    <w:rsid w:val="000C3A3B"/>
    <w:rsid w:val="000C3AE7"/>
    <w:rsid w:val="000C3B0C"/>
    <w:rsid w:val="000C3E0C"/>
    <w:rsid w:val="000C40E4"/>
    <w:rsid w:val="000C422D"/>
    <w:rsid w:val="000C469F"/>
    <w:rsid w:val="000C543E"/>
    <w:rsid w:val="000C5500"/>
    <w:rsid w:val="000C5581"/>
    <w:rsid w:val="000C5B5A"/>
    <w:rsid w:val="000C5F91"/>
    <w:rsid w:val="000C5FF2"/>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2D15"/>
    <w:rsid w:val="000D2F9B"/>
    <w:rsid w:val="000D320A"/>
    <w:rsid w:val="000D3682"/>
    <w:rsid w:val="000D36AE"/>
    <w:rsid w:val="000D38A1"/>
    <w:rsid w:val="000D41FA"/>
    <w:rsid w:val="000D49DB"/>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55F"/>
    <w:rsid w:val="000F270C"/>
    <w:rsid w:val="000F27B8"/>
    <w:rsid w:val="000F2A4D"/>
    <w:rsid w:val="000F2EEE"/>
    <w:rsid w:val="000F34B3"/>
    <w:rsid w:val="000F3697"/>
    <w:rsid w:val="000F467C"/>
    <w:rsid w:val="000F4727"/>
    <w:rsid w:val="000F4808"/>
    <w:rsid w:val="000F49E0"/>
    <w:rsid w:val="000F4AC1"/>
    <w:rsid w:val="000F4ACA"/>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A98"/>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457E"/>
    <w:rsid w:val="0010505A"/>
    <w:rsid w:val="00105CC7"/>
    <w:rsid w:val="00105E14"/>
    <w:rsid w:val="00105F1D"/>
    <w:rsid w:val="00106B6B"/>
    <w:rsid w:val="00106C25"/>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AB9"/>
    <w:rsid w:val="00113BC6"/>
    <w:rsid w:val="00113FDF"/>
    <w:rsid w:val="001141E3"/>
    <w:rsid w:val="001142DF"/>
    <w:rsid w:val="001144DF"/>
    <w:rsid w:val="00114A77"/>
    <w:rsid w:val="00114C5B"/>
    <w:rsid w:val="0011557B"/>
    <w:rsid w:val="00115661"/>
    <w:rsid w:val="00115C4F"/>
    <w:rsid w:val="00116552"/>
    <w:rsid w:val="001165DF"/>
    <w:rsid w:val="0011668E"/>
    <w:rsid w:val="00116896"/>
    <w:rsid w:val="00116D81"/>
    <w:rsid w:val="00116E19"/>
    <w:rsid w:val="0011716C"/>
    <w:rsid w:val="00117683"/>
    <w:rsid w:val="00117A6A"/>
    <w:rsid w:val="00117B4E"/>
    <w:rsid w:val="00117C85"/>
    <w:rsid w:val="00120297"/>
    <w:rsid w:val="001202DA"/>
    <w:rsid w:val="001205C5"/>
    <w:rsid w:val="00120B13"/>
    <w:rsid w:val="00120CCE"/>
    <w:rsid w:val="00121211"/>
    <w:rsid w:val="00121379"/>
    <w:rsid w:val="00122428"/>
    <w:rsid w:val="00122900"/>
    <w:rsid w:val="00122EF9"/>
    <w:rsid w:val="00123069"/>
    <w:rsid w:val="001230AF"/>
    <w:rsid w:val="001236CC"/>
    <w:rsid w:val="001237F8"/>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2F1"/>
    <w:rsid w:val="00130757"/>
    <w:rsid w:val="00130779"/>
    <w:rsid w:val="001307A1"/>
    <w:rsid w:val="0013090F"/>
    <w:rsid w:val="00130B6A"/>
    <w:rsid w:val="00130CA4"/>
    <w:rsid w:val="00131B2A"/>
    <w:rsid w:val="00131BB0"/>
    <w:rsid w:val="00131C56"/>
    <w:rsid w:val="00131C59"/>
    <w:rsid w:val="001321D3"/>
    <w:rsid w:val="001324FC"/>
    <w:rsid w:val="00132575"/>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25B"/>
    <w:rsid w:val="0014244E"/>
    <w:rsid w:val="00142665"/>
    <w:rsid w:val="00142D35"/>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65B"/>
    <w:rsid w:val="00146BC6"/>
    <w:rsid w:val="00146C0C"/>
    <w:rsid w:val="00146C3A"/>
    <w:rsid w:val="00146C88"/>
    <w:rsid w:val="00146CAA"/>
    <w:rsid w:val="00146D26"/>
    <w:rsid w:val="00146E32"/>
    <w:rsid w:val="00147870"/>
    <w:rsid w:val="00147B8A"/>
    <w:rsid w:val="00147BBE"/>
    <w:rsid w:val="001508B8"/>
    <w:rsid w:val="00151619"/>
    <w:rsid w:val="0015163E"/>
    <w:rsid w:val="00151CFB"/>
    <w:rsid w:val="001521D9"/>
    <w:rsid w:val="001524B9"/>
    <w:rsid w:val="00152835"/>
    <w:rsid w:val="00152994"/>
    <w:rsid w:val="001529BB"/>
    <w:rsid w:val="00152D11"/>
    <w:rsid w:val="00152DB5"/>
    <w:rsid w:val="0015344C"/>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0ED3"/>
    <w:rsid w:val="00161137"/>
    <w:rsid w:val="001612C9"/>
    <w:rsid w:val="00161AAD"/>
    <w:rsid w:val="0016271E"/>
    <w:rsid w:val="00162D7A"/>
    <w:rsid w:val="00163249"/>
    <w:rsid w:val="00164C6F"/>
    <w:rsid w:val="00164C97"/>
    <w:rsid w:val="00164DAB"/>
    <w:rsid w:val="00164DB1"/>
    <w:rsid w:val="00165051"/>
    <w:rsid w:val="00165335"/>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143"/>
    <w:rsid w:val="00171238"/>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893"/>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9AD"/>
    <w:rsid w:val="00183CED"/>
    <w:rsid w:val="00183EE6"/>
    <w:rsid w:val="001846B7"/>
    <w:rsid w:val="001856E3"/>
    <w:rsid w:val="001857F3"/>
    <w:rsid w:val="0018588A"/>
    <w:rsid w:val="00185A64"/>
    <w:rsid w:val="00185A9C"/>
    <w:rsid w:val="00186482"/>
    <w:rsid w:val="00186995"/>
    <w:rsid w:val="00186AE7"/>
    <w:rsid w:val="00187252"/>
    <w:rsid w:val="00187884"/>
    <w:rsid w:val="00187A7B"/>
    <w:rsid w:val="001909F5"/>
    <w:rsid w:val="00190F18"/>
    <w:rsid w:val="00190F5A"/>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6DB"/>
    <w:rsid w:val="0019685A"/>
    <w:rsid w:val="00197213"/>
    <w:rsid w:val="00197AC4"/>
    <w:rsid w:val="00197B53"/>
    <w:rsid w:val="001A0309"/>
    <w:rsid w:val="001A0733"/>
    <w:rsid w:val="001A180D"/>
    <w:rsid w:val="001A1BAC"/>
    <w:rsid w:val="001A1DA2"/>
    <w:rsid w:val="001A20AC"/>
    <w:rsid w:val="001A229A"/>
    <w:rsid w:val="001A22F1"/>
    <w:rsid w:val="001A23CE"/>
    <w:rsid w:val="001A26DD"/>
    <w:rsid w:val="001A2A8E"/>
    <w:rsid w:val="001A2C89"/>
    <w:rsid w:val="001A2EDB"/>
    <w:rsid w:val="001A3569"/>
    <w:rsid w:val="001A3DF2"/>
    <w:rsid w:val="001A401B"/>
    <w:rsid w:val="001A4111"/>
    <w:rsid w:val="001A4994"/>
    <w:rsid w:val="001A49C5"/>
    <w:rsid w:val="001A4A20"/>
    <w:rsid w:val="001A4C23"/>
    <w:rsid w:val="001A4C25"/>
    <w:rsid w:val="001A4D4A"/>
    <w:rsid w:val="001A673E"/>
    <w:rsid w:val="001A7102"/>
    <w:rsid w:val="001A7157"/>
    <w:rsid w:val="001A76C6"/>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ABB"/>
    <w:rsid w:val="001B5B33"/>
    <w:rsid w:val="001B5BB9"/>
    <w:rsid w:val="001B6564"/>
    <w:rsid w:val="001B691A"/>
    <w:rsid w:val="001B6B7E"/>
    <w:rsid w:val="001B6BF6"/>
    <w:rsid w:val="001B738C"/>
    <w:rsid w:val="001B73F4"/>
    <w:rsid w:val="001B7665"/>
    <w:rsid w:val="001B7A8B"/>
    <w:rsid w:val="001C0279"/>
    <w:rsid w:val="001C02D8"/>
    <w:rsid w:val="001C0448"/>
    <w:rsid w:val="001C04E3"/>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93D"/>
    <w:rsid w:val="001C5B13"/>
    <w:rsid w:val="001C5B3C"/>
    <w:rsid w:val="001C5D4F"/>
    <w:rsid w:val="001C6194"/>
    <w:rsid w:val="001C64C0"/>
    <w:rsid w:val="001C65B6"/>
    <w:rsid w:val="001C68CF"/>
    <w:rsid w:val="001C69DA"/>
    <w:rsid w:val="001C6E61"/>
    <w:rsid w:val="001C6F06"/>
    <w:rsid w:val="001C7194"/>
    <w:rsid w:val="001C74FA"/>
    <w:rsid w:val="001C7D2B"/>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C08"/>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76"/>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1E9D"/>
    <w:rsid w:val="001E2194"/>
    <w:rsid w:val="001E21E9"/>
    <w:rsid w:val="001E2396"/>
    <w:rsid w:val="001E254C"/>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A2C"/>
    <w:rsid w:val="001F3C62"/>
    <w:rsid w:val="001F3F1A"/>
    <w:rsid w:val="001F4A9A"/>
    <w:rsid w:val="001F4CBD"/>
    <w:rsid w:val="001F4FE5"/>
    <w:rsid w:val="001F5371"/>
    <w:rsid w:val="001F5545"/>
    <w:rsid w:val="001F5777"/>
    <w:rsid w:val="001F5937"/>
    <w:rsid w:val="001F59E3"/>
    <w:rsid w:val="001F59ED"/>
    <w:rsid w:val="001F6141"/>
    <w:rsid w:val="001F6661"/>
    <w:rsid w:val="001F68FC"/>
    <w:rsid w:val="001F6BFE"/>
    <w:rsid w:val="001F7121"/>
    <w:rsid w:val="001F7302"/>
    <w:rsid w:val="001F77CE"/>
    <w:rsid w:val="001F7FBE"/>
    <w:rsid w:val="00200197"/>
    <w:rsid w:val="00200215"/>
    <w:rsid w:val="002004F6"/>
    <w:rsid w:val="002007DC"/>
    <w:rsid w:val="00200AE6"/>
    <w:rsid w:val="00200D2C"/>
    <w:rsid w:val="00200DD8"/>
    <w:rsid w:val="00200E3E"/>
    <w:rsid w:val="00200E42"/>
    <w:rsid w:val="00201107"/>
    <w:rsid w:val="0020128C"/>
    <w:rsid w:val="00201351"/>
    <w:rsid w:val="00201464"/>
    <w:rsid w:val="002019D8"/>
    <w:rsid w:val="00201B72"/>
    <w:rsid w:val="00201EC7"/>
    <w:rsid w:val="00202163"/>
    <w:rsid w:val="0020294D"/>
    <w:rsid w:val="00202AF0"/>
    <w:rsid w:val="00202D02"/>
    <w:rsid w:val="00203214"/>
    <w:rsid w:val="0020349A"/>
    <w:rsid w:val="002034B4"/>
    <w:rsid w:val="002034E1"/>
    <w:rsid w:val="002039C7"/>
    <w:rsid w:val="00204032"/>
    <w:rsid w:val="0020404A"/>
    <w:rsid w:val="00204245"/>
    <w:rsid w:val="00204BAD"/>
    <w:rsid w:val="00204D60"/>
    <w:rsid w:val="00204E79"/>
    <w:rsid w:val="0020514C"/>
    <w:rsid w:val="00205627"/>
    <w:rsid w:val="002056D0"/>
    <w:rsid w:val="00205935"/>
    <w:rsid w:val="00205C2A"/>
    <w:rsid w:val="0020600F"/>
    <w:rsid w:val="00206EC7"/>
    <w:rsid w:val="002070FB"/>
    <w:rsid w:val="00207479"/>
    <w:rsid w:val="00207ABC"/>
    <w:rsid w:val="00207C1C"/>
    <w:rsid w:val="00207C6A"/>
    <w:rsid w:val="00207CC4"/>
    <w:rsid w:val="00207EDF"/>
    <w:rsid w:val="00210189"/>
    <w:rsid w:val="002106B3"/>
    <w:rsid w:val="00210860"/>
    <w:rsid w:val="00210B6A"/>
    <w:rsid w:val="00210CEB"/>
    <w:rsid w:val="00210FF3"/>
    <w:rsid w:val="00211152"/>
    <w:rsid w:val="00211726"/>
    <w:rsid w:val="00211845"/>
    <w:rsid w:val="00211F1D"/>
    <w:rsid w:val="0021206C"/>
    <w:rsid w:val="00212CB6"/>
    <w:rsid w:val="00212E37"/>
    <w:rsid w:val="00213CC4"/>
    <w:rsid w:val="002140FF"/>
    <w:rsid w:val="002141D9"/>
    <w:rsid w:val="0021421D"/>
    <w:rsid w:val="002147FA"/>
    <w:rsid w:val="00214DAF"/>
    <w:rsid w:val="002155E6"/>
    <w:rsid w:val="00216194"/>
    <w:rsid w:val="00216217"/>
    <w:rsid w:val="0021753A"/>
    <w:rsid w:val="00217B99"/>
    <w:rsid w:val="00217C98"/>
    <w:rsid w:val="00217CD1"/>
    <w:rsid w:val="00217D4D"/>
    <w:rsid w:val="00217D6F"/>
    <w:rsid w:val="00217F39"/>
    <w:rsid w:val="00217F6E"/>
    <w:rsid w:val="00220575"/>
    <w:rsid w:val="00220576"/>
    <w:rsid w:val="00220894"/>
    <w:rsid w:val="00221DE9"/>
    <w:rsid w:val="00222241"/>
    <w:rsid w:val="00222B97"/>
    <w:rsid w:val="00222D3E"/>
    <w:rsid w:val="00222E4E"/>
    <w:rsid w:val="00222F04"/>
    <w:rsid w:val="0022355C"/>
    <w:rsid w:val="00224637"/>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1004"/>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323"/>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9AF"/>
    <w:rsid w:val="00241AC7"/>
    <w:rsid w:val="002423E7"/>
    <w:rsid w:val="00242433"/>
    <w:rsid w:val="00242460"/>
    <w:rsid w:val="002424F9"/>
    <w:rsid w:val="00242BBE"/>
    <w:rsid w:val="002433EE"/>
    <w:rsid w:val="0024340C"/>
    <w:rsid w:val="00243F4C"/>
    <w:rsid w:val="0024414E"/>
    <w:rsid w:val="00244274"/>
    <w:rsid w:val="00244C55"/>
    <w:rsid w:val="00244F33"/>
    <w:rsid w:val="002451C5"/>
    <w:rsid w:val="002453D1"/>
    <w:rsid w:val="00245497"/>
    <w:rsid w:val="002454B5"/>
    <w:rsid w:val="00245D73"/>
    <w:rsid w:val="00245D7C"/>
    <w:rsid w:val="00245E57"/>
    <w:rsid w:val="00245F1F"/>
    <w:rsid w:val="0024663B"/>
    <w:rsid w:val="0024670D"/>
    <w:rsid w:val="00246AFC"/>
    <w:rsid w:val="00246CE5"/>
    <w:rsid w:val="00246DB7"/>
    <w:rsid w:val="00246DD1"/>
    <w:rsid w:val="00247103"/>
    <w:rsid w:val="00247328"/>
    <w:rsid w:val="002476D6"/>
    <w:rsid w:val="00247BB2"/>
    <w:rsid w:val="00247C1E"/>
    <w:rsid w:val="00247E2F"/>
    <w:rsid w:val="00250067"/>
    <w:rsid w:val="002501CA"/>
    <w:rsid w:val="002516DE"/>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F82"/>
    <w:rsid w:val="00254FC9"/>
    <w:rsid w:val="002551D0"/>
    <w:rsid w:val="00255374"/>
    <w:rsid w:val="002559D5"/>
    <w:rsid w:val="0025676D"/>
    <w:rsid w:val="00256BCB"/>
    <w:rsid w:val="002578DC"/>
    <w:rsid w:val="002578FA"/>
    <w:rsid w:val="00257BF4"/>
    <w:rsid w:val="00260003"/>
    <w:rsid w:val="0026035D"/>
    <w:rsid w:val="00260472"/>
    <w:rsid w:val="002605D6"/>
    <w:rsid w:val="002606D6"/>
    <w:rsid w:val="00260C6B"/>
    <w:rsid w:val="00261823"/>
    <w:rsid w:val="002618BB"/>
    <w:rsid w:val="00261C98"/>
    <w:rsid w:val="002620EF"/>
    <w:rsid w:val="0026223B"/>
    <w:rsid w:val="002622E8"/>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AA6"/>
    <w:rsid w:val="00270C80"/>
    <w:rsid w:val="00270CC4"/>
    <w:rsid w:val="00270D42"/>
    <w:rsid w:val="00270D53"/>
    <w:rsid w:val="002711FF"/>
    <w:rsid w:val="00271624"/>
    <w:rsid w:val="0027195D"/>
    <w:rsid w:val="0027229A"/>
    <w:rsid w:val="00272367"/>
    <w:rsid w:val="00272B03"/>
    <w:rsid w:val="00272FD1"/>
    <w:rsid w:val="0027302B"/>
    <w:rsid w:val="002731DF"/>
    <w:rsid w:val="002733E2"/>
    <w:rsid w:val="002738A9"/>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82A"/>
    <w:rsid w:val="00276A12"/>
    <w:rsid w:val="00276A35"/>
    <w:rsid w:val="00276C4C"/>
    <w:rsid w:val="002770D6"/>
    <w:rsid w:val="002774A7"/>
    <w:rsid w:val="002777BF"/>
    <w:rsid w:val="00277835"/>
    <w:rsid w:val="00277928"/>
    <w:rsid w:val="002779E8"/>
    <w:rsid w:val="00277C0F"/>
    <w:rsid w:val="0028048C"/>
    <w:rsid w:val="00280608"/>
    <w:rsid w:val="00280AB1"/>
    <w:rsid w:val="00281751"/>
    <w:rsid w:val="00281C2B"/>
    <w:rsid w:val="00281ED9"/>
    <w:rsid w:val="00282378"/>
    <w:rsid w:val="00282463"/>
    <w:rsid w:val="00282B62"/>
    <w:rsid w:val="002830D4"/>
    <w:rsid w:val="00284484"/>
    <w:rsid w:val="00284BAE"/>
    <w:rsid w:val="00285135"/>
    <w:rsid w:val="0028527A"/>
    <w:rsid w:val="00285673"/>
    <w:rsid w:val="00285676"/>
    <w:rsid w:val="002859AF"/>
    <w:rsid w:val="00285E23"/>
    <w:rsid w:val="00286AE7"/>
    <w:rsid w:val="00287243"/>
    <w:rsid w:val="00287814"/>
    <w:rsid w:val="002878F6"/>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117"/>
    <w:rsid w:val="002942E0"/>
    <w:rsid w:val="00294672"/>
    <w:rsid w:val="002947D1"/>
    <w:rsid w:val="002948DF"/>
    <w:rsid w:val="00294CA5"/>
    <w:rsid w:val="00294D62"/>
    <w:rsid w:val="00294D90"/>
    <w:rsid w:val="002950A5"/>
    <w:rsid w:val="00295391"/>
    <w:rsid w:val="002957EF"/>
    <w:rsid w:val="00295C25"/>
    <w:rsid w:val="002960A0"/>
    <w:rsid w:val="00296CB7"/>
    <w:rsid w:val="00296F70"/>
    <w:rsid w:val="0029796D"/>
    <w:rsid w:val="00297992"/>
    <w:rsid w:val="00297D1F"/>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32"/>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D29"/>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4E01"/>
    <w:rsid w:val="002B538E"/>
    <w:rsid w:val="002B5460"/>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B51"/>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C33"/>
    <w:rsid w:val="002D1DD6"/>
    <w:rsid w:val="002D1F6C"/>
    <w:rsid w:val="002D2258"/>
    <w:rsid w:val="002D3245"/>
    <w:rsid w:val="002D33B6"/>
    <w:rsid w:val="002D3692"/>
    <w:rsid w:val="002D3B89"/>
    <w:rsid w:val="002D3BBC"/>
    <w:rsid w:val="002D3CC0"/>
    <w:rsid w:val="002D3FB8"/>
    <w:rsid w:val="002D438A"/>
    <w:rsid w:val="002D4650"/>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B8C"/>
    <w:rsid w:val="002E0D2E"/>
    <w:rsid w:val="002E0E19"/>
    <w:rsid w:val="002E105A"/>
    <w:rsid w:val="002E1513"/>
    <w:rsid w:val="002E179B"/>
    <w:rsid w:val="002E1C9E"/>
    <w:rsid w:val="002E1DBE"/>
    <w:rsid w:val="002E1E0B"/>
    <w:rsid w:val="002E257B"/>
    <w:rsid w:val="002E2C82"/>
    <w:rsid w:val="002E2D7D"/>
    <w:rsid w:val="002E3633"/>
    <w:rsid w:val="002E36C0"/>
    <w:rsid w:val="002E3C65"/>
    <w:rsid w:val="002E3C66"/>
    <w:rsid w:val="002E3F5B"/>
    <w:rsid w:val="002E4362"/>
    <w:rsid w:val="002E4686"/>
    <w:rsid w:val="002E5325"/>
    <w:rsid w:val="002E57C5"/>
    <w:rsid w:val="002E5BB1"/>
    <w:rsid w:val="002E5D24"/>
    <w:rsid w:val="002E6343"/>
    <w:rsid w:val="002E63D9"/>
    <w:rsid w:val="002E640E"/>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945"/>
    <w:rsid w:val="002F2AFF"/>
    <w:rsid w:val="002F3052"/>
    <w:rsid w:val="002F3449"/>
    <w:rsid w:val="002F3926"/>
    <w:rsid w:val="002F3CDE"/>
    <w:rsid w:val="002F444F"/>
    <w:rsid w:val="002F47F2"/>
    <w:rsid w:val="002F481F"/>
    <w:rsid w:val="002F49D0"/>
    <w:rsid w:val="002F4B1B"/>
    <w:rsid w:val="002F519A"/>
    <w:rsid w:val="002F57F5"/>
    <w:rsid w:val="002F59E1"/>
    <w:rsid w:val="002F5C95"/>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59C"/>
    <w:rsid w:val="00302C48"/>
    <w:rsid w:val="00302C75"/>
    <w:rsid w:val="00303440"/>
    <w:rsid w:val="00303704"/>
    <w:rsid w:val="0030448C"/>
    <w:rsid w:val="00304D9B"/>
    <w:rsid w:val="0030529B"/>
    <w:rsid w:val="00305582"/>
    <w:rsid w:val="00305765"/>
    <w:rsid w:val="00305C18"/>
    <w:rsid w:val="00305EE8"/>
    <w:rsid w:val="00305FF9"/>
    <w:rsid w:val="0030618E"/>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A21"/>
    <w:rsid w:val="00311161"/>
    <w:rsid w:val="00311674"/>
    <w:rsid w:val="00311680"/>
    <w:rsid w:val="00311B4B"/>
    <w:rsid w:val="00312400"/>
    <w:rsid w:val="00312657"/>
    <w:rsid w:val="00312739"/>
    <w:rsid w:val="00312990"/>
    <w:rsid w:val="00312D10"/>
    <w:rsid w:val="00312FF5"/>
    <w:rsid w:val="003132D3"/>
    <w:rsid w:val="00314DC8"/>
    <w:rsid w:val="0031536E"/>
    <w:rsid w:val="003153DE"/>
    <w:rsid w:val="00315418"/>
    <w:rsid w:val="003156E3"/>
    <w:rsid w:val="00315D13"/>
    <w:rsid w:val="00315E0C"/>
    <w:rsid w:val="00316E0A"/>
    <w:rsid w:val="0031757D"/>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D7"/>
    <w:rsid w:val="00321EE2"/>
    <w:rsid w:val="00321FE9"/>
    <w:rsid w:val="0032260F"/>
    <w:rsid w:val="003228DA"/>
    <w:rsid w:val="00322CFB"/>
    <w:rsid w:val="00322DCB"/>
    <w:rsid w:val="00323605"/>
    <w:rsid w:val="0032387D"/>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7098"/>
    <w:rsid w:val="00327721"/>
    <w:rsid w:val="0032779F"/>
    <w:rsid w:val="0033055C"/>
    <w:rsid w:val="00330917"/>
    <w:rsid w:val="00331420"/>
    <w:rsid w:val="0033152C"/>
    <w:rsid w:val="0033171D"/>
    <w:rsid w:val="00331FC3"/>
    <w:rsid w:val="00332177"/>
    <w:rsid w:val="00332C02"/>
    <w:rsid w:val="00332C87"/>
    <w:rsid w:val="00332CA2"/>
    <w:rsid w:val="00332E91"/>
    <w:rsid w:val="003332CA"/>
    <w:rsid w:val="003336B3"/>
    <w:rsid w:val="0033474A"/>
    <w:rsid w:val="00334845"/>
    <w:rsid w:val="003349A0"/>
    <w:rsid w:val="00334BF8"/>
    <w:rsid w:val="00334DA6"/>
    <w:rsid w:val="003350ED"/>
    <w:rsid w:val="003352DF"/>
    <w:rsid w:val="003354A7"/>
    <w:rsid w:val="00335773"/>
    <w:rsid w:val="003357B5"/>
    <w:rsid w:val="00335B75"/>
    <w:rsid w:val="00335D8C"/>
    <w:rsid w:val="00335E6A"/>
    <w:rsid w:val="00336072"/>
    <w:rsid w:val="003363A1"/>
    <w:rsid w:val="00336C4F"/>
    <w:rsid w:val="00336D0A"/>
    <w:rsid w:val="00336ED8"/>
    <w:rsid w:val="003378DD"/>
    <w:rsid w:val="00337F85"/>
    <w:rsid w:val="00341FBA"/>
    <w:rsid w:val="0034226D"/>
    <w:rsid w:val="0034227F"/>
    <w:rsid w:val="003426C6"/>
    <w:rsid w:val="00342972"/>
    <w:rsid w:val="00342BA7"/>
    <w:rsid w:val="00342C56"/>
    <w:rsid w:val="00342FDD"/>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F0B"/>
    <w:rsid w:val="00346F7F"/>
    <w:rsid w:val="00350108"/>
    <w:rsid w:val="00350762"/>
    <w:rsid w:val="003507C4"/>
    <w:rsid w:val="003507DE"/>
    <w:rsid w:val="00350C55"/>
    <w:rsid w:val="00350DB2"/>
    <w:rsid w:val="00350DDE"/>
    <w:rsid w:val="003510D4"/>
    <w:rsid w:val="00351319"/>
    <w:rsid w:val="0035185D"/>
    <w:rsid w:val="003519A1"/>
    <w:rsid w:val="00351C82"/>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72A"/>
    <w:rsid w:val="00361816"/>
    <w:rsid w:val="00362569"/>
    <w:rsid w:val="003626CD"/>
    <w:rsid w:val="003628BA"/>
    <w:rsid w:val="00362C20"/>
    <w:rsid w:val="00362D91"/>
    <w:rsid w:val="00363397"/>
    <w:rsid w:val="003636CD"/>
    <w:rsid w:val="00364092"/>
    <w:rsid w:val="003642B2"/>
    <w:rsid w:val="003645F8"/>
    <w:rsid w:val="0036487C"/>
    <w:rsid w:val="00364FC3"/>
    <w:rsid w:val="00365411"/>
    <w:rsid w:val="0036556D"/>
    <w:rsid w:val="00365FA2"/>
    <w:rsid w:val="00366A9C"/>
    <w:rsid w:val="00366C69"/>
    <w:rsid w:val="00366D2A"/>
    <w:rsid w:val="00367441"/>
    <w:rsid w:val="00367779"/>
    <w:rsid w:val="003677C1"/>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80"/>
    <w:rsid w:val="00373679"/>
    <w:rsid w:val="003738E1"/>
    <w:rsid w:val="00373976"/>
    <w:rsid w:val="00373ABB"/>
    <w:rsid w:val="00373C75"/>
    <w:rsid w:val="00373DBA"/>
    <w:rsid w:val="00374059"/>
    <w:rsid w:val="003744B2"/>
    <w:rsid w:val="003749C4"/>
    <w:rsid w:val="003749F2"/>
    <w:rsid w:val="00374B14"/>
    <w:rsid w:val="00374D3E"/>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B8A"/>
    <w:rsid w:val="00382D60"/>
    <w:rsid w:val="00382F29"/>
    <w:rsid w:val="00383486"/>
    <w:rsid w:val="00383C8D"/>
    <w:rsid w:val="003840DC"/>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F4C"/>
    <w:rsid w:val="00387F8C"/>
    <w:rsid w:val="00390017"/>
    <w:rsid w:val="003901A3"/>
    <w:rsid w:val="003905E7"/>
    <w:rsid w:val="0039072F"/>
    <w:rsid w:val="0039079C"/>
    <w:rsid w:val="003909D7"/>
    <w:rsid w:val="00390DE3"/>
    <w:rsid w:val="0039100B"/>
    <w:rsid w:val="003911A0"/>
    <w:rsid w:val="00391914"/>
    <w:rsid w:val="003919F3"/>
    <w:rsid w:val="00391B66"/>
    <w:rsid w:val="003923D8"/>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BC4"/>
    <w:rsid w:val="00395E66"/>
    <w:rsid w:val="00396234"/>
    <w:rsid w:val="00396350"/>
    <w:rsid w:val="00396737"/>
    <w:rsid w:val="00396998"/>
    <w:rsid w:val="00396C1C"/>
    <w:rsid w:val="00396F0D"/>
    <w:rsid w:val="00397C1D"/>
    <w:rsid w:val="00397D9E"/>
    <w:rsid w:val="00397FC3"/>
    <w:rsid w:val="003A08EA"/>
    <w:rsid w:val="003A180F"/>
    <w:rsid w:val="003A18DD"/>
    <w:rsid w:val="003A1A02"/>
    <w:rsid w:val="003A20C8"/>
    <w:rsid w:val="003A210F"/>
    <w:rsid w:val="003A2596"/>
    <w:rsid w:val="003A25D3"/>
    <w:rsid w:val="003A263B"/>
    <w:rsid w:val="003A2833"/>
    <w:rsid w:val="003A2C29"/>
    <w:rsid w:val="003A2EC3"/>
    <w:rsid w:val="003A36F2"/>
    <w:rsid w:val="003A38D5"/>
    <w:rsid w:val="003A3D39"/>
    <w:rsid w:val="003A3EC7"/>
    <w:rsid w:val="003A3EEC"/>
    <w:rsid w:val="003A3F23"/>
    <w:rsid w:val="003A40B4"/>
    <w:rsid w:val="003A4252"/>
    <w:rsid w:val="003A4E43"/>
    <w:rsid w:val="003A5ADA"/>
    <w:rsid w:val="003A63D7"/>
    <w:rsid w:val="003A68AD"/>
    <w:rsid w:val="003A6A4C"/>
    <w:rsid w:val="003A6AF9"/>
    <w:rsid w:val="003A700A"/>
    <w:rsid w:val="003A7346"/>
    <w:rsid w:val="003A73B9"/>
    <w:rsid w:val="003A7834"/>
    <w:rsid w:val="003A79D7"/>
    <w:rsid w:val="003B00C2"/>
    <w:rsid w:val="003B01B8"/>
    <w:rsid w:val="003B0676"/>
    <w:rsid w:val="003B07F5"/>
    <w:rsid w:val="003B0B5B"/>
    <w:rsid w:val="003B0D20"/>
    <w:rsid w:val="003B0E79"/>
    <w:rsid w:val="003B1C92"/>
    <w:rsid w:val="003B1F64"/>
    <w:rsid w:val="003B224E"/>
    <w:rsid w:val="003B2494"/>
    <w:rsid w:val="003B2F53"/>
    <w:rsid w:val="003B3575"/>
    <w:rsid w:val="003B3B2F"/>
    <w:rsid w:val="003B404F"/>
    <w:rsid w:val="003B429E"/>
    <w:rsid w:val="003B4351"/>
    <w:rsid w:val="003B45F6"/>
    <w:rsid w:val="003B468C"/>
    <w:rsid w:val="003B4E1C"/>
    <w:rsid w:val="003B50BC"/>
    <w:rsid w:val="003B515A"/>
    <w:rsid w:val="003B566E"/>
    <w:rsid w:val="003B56B0"/>
    <w:rsid w:val="003B5D97"/>
    <w:rsid w:val="003B63A4"/>
    <w:rsid w:val="003B68FE"/>
    <w:rsid w:val="003B6B48"/>
    <w:rsid w:val="003B6D7D"/>
    <w:rsid w:val="003B70C6"/>
    <w:rsid w:val="003B71B5"/>
    <w:rsid w:val="003B7D7E"/>
    <w:rsid w:val="003C0325"/>
    <w:rsid w:val="003C055B"/>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99C"/>
    <w:rsid w:val="003C59C1"/>
    <w:rsid w:val="003C5D7B"/>
    <w:rsid w:val="003C5E6B"/>
    <w:rsid w:val="003C6606"/>
    <w:rsid w:val="003C6876"/>
    <w:rsid w:val="003C6AEC"/>
    <w:rsid w:val="003C7209"/>
    <w:rsid w:val="003C72B6"/>
    <w:rsid w:val="003C7614"/>
    <w:rsid w:val="003C7AD7"/>
    <w:rsid w:val="003D054A"/>
    <w:rsid w:val="003D059B"/>
    <w:rsid w:val="003D0CF1"/>
    <w:rsid w:val="003D0FC3"/>
    <w:rsid w:val="003D11E6"/>
    <w:rsid w:val="003D1AD1"/>
    <w:rsid w:val="003D1B12"/>
    <w:rsid w:val="003D1BDF"/>
    <w:rsid w:val="003D1CF1"/>
    <w:rsid w:val="003D1F8F"/>
    <w:rsid w:val="003D212D"/>
    <w:rsid w:val="003D2493"/>
    <w:rsid w:val="003D2C1D"/>
    <w:rsid w:val="003D2C34"/>
    <w:rsid w:val="003D2CCB"/>
    <w:rsid w:val="003D2E2B"/>
    <w:rsid w:val="003D309F"/>
    <w:rsid w:val="003D3504"/>
    <w:rsid w:val="003D3565"/>
    <w:rsid w:val="003D394D"/>
    <w:rsid w:val="003D3DDD"/>
    <w:rsid w:val="003D41A6"/>
    <w:rsid w:val="003D4363"/>
    <w:rsid w:val="003D441C"/>
    <w:rsid w:val="003D46A1"/>
    <w:rsid w:val="003D496C"/>
    <w:rsid w:val="003D4E26"/>
    <w:rsid w:val="003D4F47"/>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1755"/>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5327"/>
    <w:rsid w:val="003E568F"/>
    <w:rsid w:val="003E57E1"/>
    <w:rsid w:val="003E5D4F"/>
    <w:rsid w:val="003E6316"/>
    <w:rsid w:val="003E651B"/>
    <w:rsid w:val="003E6884"/>
    <w:rsid w:val="003E6AC5"/>
    <w:rsid w:val="003E6CBB"/>
    <w:rsid w:val="003E6D8B"/>
    <w:rsid w:val="003E7088"/>
    <w:rsid w:val="003E70C6"/>
    <w:rsid w:val="003E71B9"/>
    <w:rsid w:val="003E757A"/>
    <w:rsid w:val="003E76C2"/>
    <w:rsid w:val="003E773B"/>
    <w:rsid w:val="003F0096"/>
    <w:rsid w:val="003F0522"/>
    <w:rsid w:val="003F07B2"/>
    <w:rsid w:val="003F0850"/>
    <w:rsid w:val="003F0927"/>
    <w:rsid w:val="003F09FC"/>
    <w:rsid w:val="003F0BC1"/>
    <w:rsid w:val="003F0D12"/>
    <w:rsid w:val="003F160C"/>
    <w:rsid w:val="003F1F31"/>
    <w:rsid w:val="003F209A"/>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535C"/>
    <w:rsid w:val="003F569F"/>
    <w:rsid w:val="003F5F25"/>
    <w:rsid w:val="003F630E"/>
    <w:rsid w:val="003F6CD2"/>
    <w:rsid w:val="003F6D15"/>
    <w:rsid w:val="003F6EF0"/>
    <w:rsid w:val="003F719A"/>
    <w:rsid w:val="003F769E"/>
    <w:rsid w:val="003F76D0"/>
    <w:rsid w:val="003F788D"/>
    <w:rsid w:val="003F7A89"/>
    <w:rsid w:val="0040017E"/>
    <w:rsid w:val="00400628"/>
    <w:rsid w:val="0040126E"/>
    <w:rsid w:val="00401998"/>
    <w:rsid w:val="00401CF6"/>
    <w:rsid w:val="0040209C"/>
    <w:rsid w:val="004020D4"/>
    <w:rsid w:val="004021B6"/>
    <w:rsid w:val="00402D95"/>
    <w:rsid w:val="00403701"/>
    <w:rsid w:val="004037BF"/>
    <w:rsid w:val="004037DB"/>
    <w:rsid w:val="00403BB9"/>
    <w:rsid w:val="00403C0D"/>
    <w:rsid w:val="004047C4"/>
    <w:rsid w:val="0040502F"/>
    <w:rsid w:val="004050B2"/>
    <w:rsid w:val="0040570B"/>
    <w:rsid w:val="004057F7"/>
    <w:rsid w:val="00405B06"/>
    <w:rsid w:val="00405D5B"/>
    <w:rsid w:val="00405EDB"/>
    <w:rsid w:val="00405FB1"/>
    <w:rsid w:val="00406460"/>
    <w:rsid w:val="004064CC"/>
    <w:rsid w:val="00406B90"/>
    <w:rsid w:val="00406E18"/>
    <w:rsid w:val="00406EFB"/>
    <w:rsid w:val="004075A5"/>
    <w:rsid w:val="00407664"/>
    <w:rsid w:val="00407FC7"/>
    <w:rsid w:val="0041024C"/>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EFF"/>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69A"/>
    <w:rsid w:val="004208AC"/>
    <w:rsid w:val="00421303"/>
    <w:rsid w:val="00421523"/>
    <w:rsid w:val="00421570"/>
    <w:rsid w:val="004216B6"/>
    <w:rsid w:val="00421AA7"/>
    <w:rsid w:val="00421DCF"/>
    <w:rsid w:val="00422341"/>
    <w:rsid w:val="0042259F"/>
    <w:rsid w:val="00422ADB"/>
    <w:rsid w:val="0042318A"/>
    <w:rsid w:val="0042331A"/>
    <w:rsid w:val="00423641"/>
    <w:rsid w:val="00423F27"/>
    <w:rsid w:val="00423FE9"/>
    <w:rsid w:val="00424372"/>
    <w:rsid w:val="00424640"/>
    <w:rsid w:val="004249F4"/>
    <w:rsid w:val="00424E53"/>
    <w:rsid w:val="00424F2C"/>
    <w:rsid w:val="00425269"/>
    <w:rsid w:val="0042545A"/>
    <w:rsid w:val="004259E7"/>
    <w:rsid w:val="00425BE2"/>
    <w:rsid w:val="00425D4A"/>
    <w:rsid w:val="00425DA7"/>
    <w:rsid w:val="004261C8"/>
    <w:rsid w:val="00426266"/>
    <w:rsid w:val="004268E8"/>
    <w:rsid w:val="00426EBE"/>
    <w:rsid w:val="00427F80"/>
    <w:rsid w:val="0043037D"/>
    <w:rsid w:val="004306BC"/>
    <w:rsid w:val="004307F1"/>
    <w:rsid w:val="00430A2D"/>
    <w:rsid w:val="00431186"/>
    <w:rsid w:val="00431407"/>
    <w:rsid w:val="00431505"/>
    <w:rsid w:val="004319CE"/>
    <w:rsid w:val="00431AF0"/>
    <w:rsid w:val="00431B81"/>
    <w:rsid w:val="00431E12"/>
    <w:rsid w:val="0043213A"/>
    <w:rsid w:val="00432E06"/>
    <w:rsid w:val="00432E5A"/>
    <w:rsid w:val="004330F4"/>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40C"/>
    <w:rsid w:val="0043773F"/>
    <w:rsid w:val="004379D4"/>
    <w:rsid w:val="0044019B"/>
    <w:rsid w:val="00440E86"/>
    <w:rsid w:val="00440FED"/>
    <w:rsid w:val="004411E7"/>
    <w:rsid w:val="004418F3"/>
    <w:rsid w:val="00441F61"/>
    <w:rsid w:val="00441FFB"/>
    <w:rsid w:val="00442B6E"/>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C2A"/>
    <w:rsid w:val="00450DB6"/>
    <w:rsid w:val="00451067"/>
    <w:rsid w:val="0045123B"/>
    <w:rsid w:val="0045136B"/>
    <w:rsid w:val="00451550"/>
    <w:rsid w:val="00451768"/>
    <w:rsid w:val="00451C7E"/>
    <w:rsid w:val="004520A3"/>
    <w:rsid w:val="004522AA"/>
    <w:rsid w:val="0045261E"/>
    <w:rsid w:val="00452B62"/>
    <w:rsid w:val="00452C1D"/>
    <w:rsid w:val="00452E48"/>
    <w:rsid w:val="004537E0"/>
    <w:rsid w:val="00453A99"/>
    <w:rsid w:val="00453BB6"/>
    <w:rsid w:val="00453CAA"/>
    <w:rsid w:val="00453FD1"/>
    <w:rsid w:val="00454197"/>
    <w:rsid w:val="0045459B"/>
    <w:rsid w:val="00454926"/>
    <w:rsid w:val="00454E26"/>
    <w:rsid w:val="00454FFE"/>
    <w:rsid w:val="00455113"/>
    <w:rsid w:val="00455D08"/>
    <w:rsid w:val="00455D7F"/>
    <w:rsid w:val="00456421"/>
    <w:rsid w:val="0045661B"/>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C6E"/>
    <w:rsid w:val="004820BD"/>
    <w:rsid w:val="0048287E"/>
    <w:rsid w:val="00482BBE"/>
    <w:rsid w:val="00482ED7"/>
    <w:rsid w:val="004837FA"/>
    <w:rsid w:val="00483A12"/>
    <w:rsid w:val="00483BA2"/>
    <w:rsid w:val="00484A77"/>
    <w:rsid w:val="00485334"/>
    <w:rsid w:val="0048540F"/>
    <w:rsid w:val="00485662"/>
    <w:rsid w:val="00485970"/>
    <w:rsid w:val="00485C0D"/>
    <w:rsid w:val="00485C2F"/>
    <w:rsid w:val="004862DD"/>
    <w:rsid w:val="00486575"/>
    <w:rsid w:val="004866D0"/>
    <w:rsid w:val="004866F9"/>
    <w:rsid w:val="00486B65"/>
    <w:rsid w:val="00486F13"/>
    <w:rsid w:val="00487F0C"/>
    <w:rsid w:val="00490171"/>
    <w:rsid w:val="00490187"/>
    <w:rsid w:val="004902CB"/>
    <w:rsid w:val="004902F4"/>
    <w:rsid w:val="00490DE3"/>
    <w:rsid w:val="00490E9B"/>
    <w:rsid w:val="00491453"/>
    <w:rsid w:val="004916A0"/>
    <w:rsid w:val="004917E8"/>
    <w:rsid w:val="00491959"/>
    <w:rsid w:val="00492337"/>
    <w:rsid w:val="00492453"/>
    <w:rsid w:val="004926BE"/>
    <w:rsid w:val="00492DF8"/>
    <w:rsid w:val="00493055"/>
    <w:rsid w:val="00493141"/>
    <w:rsid w:val="004932E0"/>
    <w:rsid w:val="004935DD"/>
    <w:rsid w:val="004935EC"/>
    <w:rsid w:val="00494242"/>
    <w:rsid w:val="00494887"/>
    <w:rsid w:val="00494A3D"/>
    <w:rsid w:val="00494C44"/>
    <w:rsid w:val="00494DD3"/>
    <w:rsid w:val="00494E8E"/>
    <w:rsid w:val="004955BC"/>
    <w:rsid w:val="00495D63"/>
    <w:rsid w:val="00495E92"/>
    <w:rsid w:val="0049648F"/>
    <w:rsid w:val="00496606"/>
    <w:rsid w:val="0049681A"/>
    <w:rsid w:val="004968F3"/>
    <w:rsid w:val="00496991"/>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BF4"/>
    <w:rsid w:val="004A4C7D"/>
    <w:rsid w:val="004A503D"/>
    <w:rsid w:val="004A5046"/>
    <w:rsid w:val="004A555E"/>
    <w:rsid w:val="004A5647"/>
    <w:rsid w:val="004A565E"/>
    <w:rsid w:val="004A5DF3"/>
    <w:rsid w:val="004A5EBA"/>
    <w:rsid w:val="004A60E7"/>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DD1"/>
    <w:rsid w:val="004B2E6E"/>
    <w:rsid w:val="004B3220"/>
    <w:rsid w:val="004B407B"/>
    <w:rsid w:val="004B49E6"/>
    <w:rsid w:val="004B4D69"/>
    <w:rsid w:val="004B54AF"/>
    <w:rsid w:val="004B6373"/>
    <w:rsid w:val="004B64E3"/>
    <w:rsid w:val="004B682C"/>
    <w:rsid w:val="004B6CC9"/>
    <w:rsid w:val="004B79FF"/>
    <w:rsid w:val="004C01A8"/>
    <w:rsid w:val="004C07ED"/>
    <w:rsid w:val="004C0809"/>
    <w:rsid w:val="004C0B28"/>
    <w:rsid w:val="004C0D41"/>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B20"/>
    <w:rsid w:val="004C4FC7"/>
    <w:rsid w:val="004C5319"/>
    <w:rsid w:val="004C541E"/>
    <w:rsid w:val="004C5E1E"/>
    <w:rsid w:val="004C61B9"/>
    <w:rsid w:val="004C621F"/>
    <w:rsid w:val="004C6F0F"/>
    <w:rsid w:val="004C7015"/>
    <w:rsid w:val="004C73E8"/>
    <w:rsid w:val="004C78EF"/>
    <w:rsid w:val="004C7948"/>
    <w:rsid w:val="004C7BB8"/>
    <w:rsid w:val="004C7C54"/>
    <w:rsid w:val="004C7C60"/>
    <w:rsid w:val="004C7F9B"/>
    <w:rsid w:val="004D02E1"/>
    <w:rsid w:val="004D0378"/>
    <w:rsid w:val="004D0393"/>
    <w:rsid w:val="004D077F"/>
    <w:rsid w:val="004D088E"/>
    <w:rsid w:val="004D0DFE"/>
    <w:rsid w:val="004D136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256"/>
    <w:rsid w:val="004D645A"/>
    <w:rsid w:val="004D64E7"/>
    <w:rsid w:val="004D6710"/>
    <w:rsid w:val="004D6F4D"/>
    <w:rsid w:val="004D6F95"/>
    <w:rsid w:val="004D7045"/>
    <w:rsid w:val="004D72FE"/>
    <w:rsid w:val="004D7452"/>
    <w:rsid w:val="004D7B2E"/>
    <w:rsid w:val="004D7C2B"/>
    <w:rsid w:val="004D7E91"/>
    <w:rsid w:val="004E003A"/>
    <w:rsid w:val="004E0386"/>
    <w:rsid w:val="004E0768"/>
    <w:rsid w:val="004E08F4"/>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375"/>
    <w:rsid w:val="004E57F1"/>
    <w:rsid w:val="004E6459"/>
    <w:rsid w:val="004E651F"/>
    <w:rsid w:val="004E6D71"/>
    <w:rsid w:val="004E6FA0"/>
    <w:rsid w:val="004F0634"/>
    <w:rsid w:val="004F0AFD"/>
    <w:rsid w:val="004F0B86"/>
    <w:rsid w:val="004F0D9F"/>
    <w:rsid w:val="004F0FB9"/>
    <w:rsid w:val="004F1018"/>
    <w:rsid w:val="004F1866"/>
    <w:rsid w:val="004F1C38"/>
    <w:rsid w:val="004F1C51"/>
    <w:rsid w:val="004F1D6E"/>
    <w:rsid w:val="004F2599"/>
    <w:rsid w:val="004F284E"/>
    <w:rsid w:val="004F2F7E"/>
    <w:rsid w:val="004F3195"/>
    <w:rsid w:val="004F3263"/>
    <w:rsid w:val="004F3276"/>
    <w:rsid w:val="004F32B5"/>
    <w:rsid w:val="004F365E"/>
    <w:rsid w:val="004F38DB"/>
    <w:rsid w:val="004F3FC2"/>
    <w:rsid w:val="004F407E"/>
    <w:rsid w:val="004F40EF"/>
    <w:rsid w:val="004F4C79"/>
    <w:rsid w:val="004F4FFB"/>
    <w:rsid w:val="004F5479"/>
    <w:rsid w:val="004F5727"/>
    <w:rsid w:val="004F5E11"/>
    <w:rsid w:val="004F697C"/>
    <w:rsid w:val="004F6C8F"/>
    <w:rsid w:val="004F71F9"/>
    <w:rsid w:val="004F7528"/>
    <w:rsid w:val="004F76B0"/>
    <w:rsid w:val="004F7BCA"/>
    <w:rsid w:val="004F7D89"/>
    <w:rsid w:val="004F7FEB"/>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75E"/>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695C"/>
    <w:rsid w:val="005173A7"/>
    <w:rsid w:val="005177E1"/>
    <w:rsid w:val="00517A0D"/>
    <w:rsid w:val="00517B2A"/>
    <w:rsid w:val="00517B54"/>
    <w:rsid w:val="0052008F"/>
    <w:rsid w:val="00520B08"/>
    <w:rsid w:val="00520C0A"/>
    <w:rsid w:val="00520C99"/>
    <w:rsid w:val="00520D90"/>
    <w:rsid w:val="00520F10"/>
    <w:rsid w:val="00521420"/>
    <w:rsid w:val="00521557"/>
    <w:rsid w:val="005218B6"/>
    <w:rsid w:val="00521B6D"/>
    <w:rsid w:val="00521D8B"/>
    <w:rsid w:val="00522589"/>
    <w:rsid w:val="005225F7"/>
    <w:rsid w:val="0052285C"/>
    <w:rsid w:val="00523153"/>
    <w:rsid w:val="005238C4"/>
    <w:rsid w:val="0052396B"/>
    <w:rsid w:val="00524545"/>
    <w:rsid w:val="00524C1C"/>
    <w:rsid w:val="00524C1F"/>
    <w:rsid w:val="00524F50"/>
    <w:rsid w:val="00525553"/>
    <w:rsid w:val="005255BF"/>
    <w:rsid w:val="005257DE"/>
    <w:rsid w:val="00525FC4"/>
    <w:rsid w:val="00525FF3"/>
    <w:rsid w:val="00526594"/>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279"/>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26"/>
    <w:rsid w:val="0054094D"/>
    <w:rsid w:val="00540C6A"/>
    <w:rsid w:val="0054108B"/>
    <w:rsid w:val="00541C13"/>
    <w:rsid w:val="00541DCA"/>
    <w:rsid w:val="00541DDB"/>
    <w:rsid w:val="00542874"/>
    <w:rsid w:val="00542B58"/>
    <w:rsid w:val="005433B3"/>
    <w:rsid w:val="0054343A"/>
    <w:rsid w:val="00543974"/>
    <w:rsid w:val="00543EBF"/>
    <w:rsid w:val="00544671"/>
    <w:rsid w:val="00544ABA"/>
    <w:rsid w:val="00544B73"/>
    <w:rsid w:val="00544DE8"/>
    <w:rsid w:val="00544E14"/>
    <w:rsid w:val="00545234"/>
    <w:rsid w:val="005456C4"/>
    <w:rsid w:val="00545856"/>
    <w:rsid w:val="0054593A"/>
    <w:rsid w:val="0054622E"/>
    <w:rsid w:val="005467FB"/>
    <w:rsid w:val="00546A0E"/>
    <w:rsid w:val="00546A44"/>
    <w:rsid w:val="00546A61"/>
    <w:rsid w:val="00546AE9"/>
    <w:rsid w:val="00546B70"/>
    <w:rsid w:val="00547669"/>
    <w:rsid w:val="00547720"/>
    <w:rsid w:val="00547989"/>
    <w:rsid w:val="00547BA6"/>
    <w:rsid w:val="00547E3B"/>
    <w:rsid w:val="005502E7"/>
    <w:rsid w:val="00550E0E"/>
    <w:rsid w:val="00551320"/>
    <w:rsid w:val="005513DF"/>
    <w:rsid w:val="00551402"/>
    <w:rsid w:val="0055163C"/>
    <w:rsid w:val="005518A4"/>
    <w:rsid w:val="0055191F"/>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64"/>
    <w:rsid w:val="00557C5D"/>
    <w:rsid w:val="005601DC"/>
    <w:rsid w:val="005605C0"/>
    <w:rsid w:val="00560A70"/>
    <w:rsid w:val="00560C33"/>
    <w:rsid w:val="00560D23"/>
    <w:rsid w:val="005614E5"/>
    <w:rsid w:val="005615BB"/>
    <w:rsid w:val="005615D8"/>
    <w:rsid w:val="005616DE"/>
    <w:rsid w:val="00561F02"/>
    <w:rsid w:val="00562113"/>
    <w:rsid w:val="005626D6"/>
    <w:rsid w:val="00563352"/>
    <w:rsid w:val="005638D0"/>
    <w:rsid w:val="005638D4"/>
    <w:rsid w:val="00563B6A"/>
    <w:rsid w:val="005644BE"/>
    <w:rsid w:val="00564AD6"/>
    <w:rsid w:val="00565664"/>
    <w:rsid w:val="005656ED"/>
    <w:rsid w:val="00565887"/>
    <w:rsid w:val="00565AAE"/>
    <w:rsid w:val="00566544"/>
    <w:rsid w:val="00566608"/>
    <w:rsid w:val="00566C83"/>
    <w:rsid w:val="00566E2E"/>
    <w:rsid w:val="00566F79"/>
    <w:rsid w:val="00567A9F"/>
    <w:rsid w:val="00567B4B"/>
    <w:rsid w:val="00570032"/>
    <w:rsid w:val="005700FE"/>
    <w:rsid w:val="005704AC"/>
    <w:rsid w:val="00570894"/>
    <w:rsid w:val="00570CF6"/>
    <w:rsid w:val="00570DDB"/>
    <w:rsid w:val="00570E24"/>
    <w:rsid w:val="00571168"/>
    <w:rsid w:val="005712A8"/>
    <w:rsid w:val="005717F5"/>
    <w:rsid w:val="00572391"/>
    <w:rsid w:val="005725B2"/>
    <w:rsid w:val="00572654"/>
    <w:rsid w:val="00572760"/>
    <w:rsid w:val="005727C8"/>
    <w:rsid w:val="005728EE"/>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640"/>
    <w:rsid w:val="005759F6"/>
    <w:rsid w:val="00575E3E"/>
    <w:rsid w:val="005762DE"/>
    <w:rsid w:val="005765AE"/>
    <w:rsid w:val="005765DB"/>
    <w:rsid w:val="005765F5"/>
    <w:rsid w:val="00576D6C"/>
    <w:rsid w:val="005779B7"/>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4A0"/>
    <w:rsid w:val="005864D3"/>
    <w:rsid w:val="00587502"/>
    <w:rsid w:val="00587ABD"/>
    <w:rsid w:val="00587F43"/>
    <w:rsid w:val="00587FC0"/>
    <w:rsid w:val="00587FDB"/>
    <w:rsid w:val="0059028C"/>
    <w:rsid w:val="0059032C"/>
    <w:rsid w:val="005906AD"/>
    <w:rsid w:val="00590A44"/>
    <w:rsid w:val="00590B78"/>
    <w:rsid w:val="00590CF6"/>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8D7"/>
    <w:rsid w:val="00596B9C"/>
    <w:rsid w:val="00596CC9"/>
    <w:rsid w:val="00597082"/>
    <w:rsid w:val="005971A4"/>
    <w:rsid w:val="0059793E"/>
    <w:rsid w:val="00597AD3"/>
    <w:rsid w:val="00597E0D"/>
    <w:rsid w:val="005A054D"/>
    <w:rsid w:val="005A0A46"/>
    <w:rsid w:val="005A0F23"/>
    <w:rsid w:val="005A10B9"/>
    <w:rsid w:val="005A1103"/>
    <w:rsid w:val="005A11EA"/>
    <w:rsid w:val="005A1B24"/>
    <w:rsid w:val="005A269F"/>
    <w:rsid w:val="005A2996"/>
    <w:rsid w:val="005A2A1E"/>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DC5"/>
    <w:rsid w:val="005B3E28"/>
    <w:rsid w:val="005B45C7"/>
    <w:rsid w:val="005B4D87"/>
    <w:rsid w:val="005B532C"/>
    <w:rsid w:val="005B5D56"/>
    <w:rsid w:val="005B6421"/>
    <w:rsid w:val="005B6CDA"/>
    <w:rsid w:val="005B7010"/>
    <w:rsid w:val="005B7120"/>
    <w:rsid w:val="005B72D4"/>
    <w:rsid w:val="005B793E"/>
    <w:rsid w:val="005B7DD1"/>
    <w:rsid w:val="005C00A0"/>
    <w:rsid w:val="005C0271"/>
    <w:rsid w:val="005C0985"/>
    <w:rsid w:val="005C11D3"/>
    <w:rsid w:val="005C1680"/>
    <w:rsid w:val="005C177E"/>
    <w:rsid w:val="005C1942"/>
    <w:rsid w:val="005C1AA1"/>
    <w:rsid w:val="005C28FA"/>
    <w:rsid w:val="005C29ED"/>
    <w:rsid w:val="005C2BF5"/>
    <w:rsid w:val="005C2E01"/>
    <w:rsid w:val="005C3017"/>
    <w:rsid w:val="005C33A7"/>
    <w:rsid w:val="005C3616"/>
    <w:rsid w:val="005C38F1"/>
    <w:rsid w:val="005C3D68"/>
    <w:rsid w:val="005C3FB6"/>
    <w:rsid w:val="005C40F4"/>
    <w:rsid w:val="005C4163"/>
    <w:rsid w:val="005C43BE"/>
    <w:rsid w:val="005C44B3"/>
    <w:rsid w:val="005C44F3"/>
    <w:rsid w:val="005C477F"/>
    <w:rsid w:val="005C4DA8"/>
    <w:rsid w:val="005C5112"/>
    <w:rsid w:val="005C59B5"/>
    <w:rsid w:val="005C5B1B"/>
    <w:rsid w:val="005C622B"/>
    <w:rsid w:val="005C6735"/>
    <w:rsid w:val="005C687B"/>
    <w:rsid w:val="005C68B2"/>
    <w:rsid w:val="005C6B18"/>
    <w:rsid w:val="005C712D"/>
    <w:rsid w:val="005C7C75"/>
    <w:rsid w:val="005C7DEC"/>
    <w:rsid w:val="005C7E0F"/>
    <w:rsid w:val="005C7F5B"/>
    <w:rsid w:val="005D0620"/>
    <w:rsid w:val="005D0C83"/>
    <w:rsid w:val="005D0E4F"/>
    <w:rsid w:val="005D1076"/>
    <w:rsid w:val="005D1499"/>
    <w:rsid w:val="005D1A4B"/>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354"/>
    <w:rsid w:val="005D648A"/>
    <w:rsid w:val="005D6AA9"/>
    <w:rsid w:val="005D6FE5"/>
    <w:rsid w:val="005D748A"/>
    <w:rsid w:val="005D74AF"/>
    <w:rsid w:val="005D74BF"/>
    <w:rsid w:val="005D7E0D"/>
    <w:rsid w:val="005E096B"/>
    <w:rsid w:val="005E104E"/>
    <w:rsid w:val="005E13BF"/>
    <w:rsid w:val="005E18C1"/>
    <w:rsid w:val="005E19DC"/>
    <w:rsid w:val="005E234A"/>
    <w:rsid w:val="005E2371"/>
    <w:rsid w:val="005E265F"/>
    <w:rsid w:val="005E3588"/>
    <w:rsid w:val="005E35CC"/>
    <w:rsid w:val="005E371E"/>
    <w:rsid w:val="005E395D"/>
    <w:rsid w:val="005E427A"/>
    <w:rsid w:val="005E4F8D"/>
    <w:rsid w:val="005E53F9"/>
    <w:rsid w:val="005E5AEF"/>
    <w:rsid w:val="005E5D3D"/>
    <w:rsid w:val="005E5E71"/>
    <w:rsid w:val="005E63B7"/>
    <w:rsid w:val="005E661D"/>
    <w:rsid w:val="005E66DA"/>
    <w:rsid w:val="005E6EE2"/>
    <w:rsid w:val="005E72EB"/>
    <w:rsid w:val="005E775D"/>
    <w:rsid w:val="005E7D52"/>
    <w:rsid w:val="005F04D2"/>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D6"/>
    <w:rsid w:val="005F4C0F"/>
    <w:rsid w:val="005F4DD6"/>
    <w:rsid w:val="005F4F84"/>
    <w:rsid w:val="005F50D8"/>
    <w:rsid w:val="005F52D0"/>
    <w:rsid w:val="005F53A1"/>
    <w:rsid w:val="005F54B9"/>
    <w:rsid w:val="005F55A4"/>
    <w:rsid w:val="005F5CD6"/>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C8"/>
    <w:rsid w:val="006112D0"/>
    <w:rsid w:val="006114C7"/>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645"/>
    <w:rsid w:val="00615DFB"/>
    <w:rsid w:val="00615E23"/>
    <w:rsid w:val="00616112"/>
    <w:rsid w:val="00616FAF"/>
    <w:rsid w:val="006175BC"/>
    <w:rsid w:val="006177F8"/>
    <w:rsid w:val="00617913"/>
    <w:rsid w:val="00617D24"/>
    <w:rsid w:val="00617DE8"/>
    <w:rsid w:val="00617E45"/>
    <w:rsid w:val="006205CA"/>
    <w:rsid w:val="0062098F"/>
    <w:rsid w:val="00620CE0"/>
    <w:rsid w:val="00620E79"/>
    <w:rsid w:val="00621042"/>
    <w:rsid w:val="0062119B"/>
    <w:rsid w:val="00621618"/>
    <w:rsid w:val="0062186A"/>
    <w:rsid w:val="00621A61"/>
    <w:rsid w:val="00621F53"/>
    <w:rsid w:val="00621F9E"/>
    <w:rsid w:val="00622086"/>
    <w:rsid w:val="0062229D"/>
    <w:rsid w:val="006222BE"/>
    <w:rsid w:val="006222D6"/>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6284"/>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5560"/>
    <w:rsid w:val="00646C08"/>
    <w:rsid w:val="00646C1C"/>
    <w:rsid w:val="006473AA"/>
    <w:rsid w:val="00647869"/>
    <w:rsid w:val="00647A2E"/>
    <w:rsid w:val="00647A9A"/>
    <w:rsid w:val="00647B71"/>
    <w:rsid w:val="00647C20"/>
    <w:rsid w:val="00647F3B"/>
    <w:rsid w:val="0065002E"/>
    <w:rsid w:val="00650139"/>
    <w:rsid w:val="006502B7"/>
    <w:rsid w:val="006508ED"/>
    <w:rsid w:val="00650A06"/>
    <w:rsid w:val="00651018"/>
    <w:rsid w:val="0065120D"/>
    <w:rsid w:val="006515BE"/>
    <w:rsid w:val="00651A08"/>
    <w:rsid w:val="00651CA4"/>
    <w:rsid w:val="00651E7D"/>
    <w:rsid w:val="006526EA"/>
    <w:rsid w:val="00652756"/>
    <w:rsid w:val="00652AC1"/>
    <w:rsid w:val="00652AD8"/>
    <w:rsid w:val="00652B79"/>
    <w:rsid w:val="00652C8B"/>
    <w:rsid w:val="00652CAC"/>
    <w:rsid w:val="00652F1A"/>
    <w:rsid w:val="006532A4"/>
    <w:rsid w:val="006533C3"/>
    <w:rsid w:val="0065391E"/>
    <w:rsid w:val="00654068"/>
    <w:rsid w:val="006540B5"/>
    <w:rsid w:val="00654A7A"/>
    <w:rsid w:val="00654B38"/>
    <w:rsid w:val="00654B83"/>
    <w:rsid w:val="00654BF5"/>
    <w:rsid w:val="0065501E"/>
    <w:rsid w:val="00655061"/>
    <w:rsid w:val="0065510C"/>
    <w:rsid w:val="0065583F"/>
    <w:rsid w:val="00655B63"/>
    <w:rsid w:val="00655E84"/>
    <w:rsid w:val="00656032"/>
    <w:rsid w:val="006571F6"/>
    <w:rsid w:val="0065775C"/>
    <w:rsid w:val="00657F78"/>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CAE"/>
    <w:rsid w:val="00665FA8"/>
    <w:rsid w:val="006668F0"/>
    <w:rsid w:val="00666CC4"/>
    <w:rsid w:val="00667149"/>
    <w:rsid w:val="0066732C"/>
    <w:rsid w:val="006679F5"/>
    <w:rsid w:val="00667B04"/>
    <w:rsid w:val="00667B77"/>
    <w:rsid w:val="00667B7E"/>
    <w:rsid w:val="00667DAC"/>
    <w:rsid w:val="00670304"/>
    <w:rsid w:val="0067095E"/>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B5E"/>
    <w:rsid w:val="00676F29"/>
    <w:rsid w:val="00677443"/>
    <w:rsid w:val="0067769A"/>
    <w:rsid w:val="006776EE"/>
    <w:rsid w:val="006777D8"/>
    <w:rsid w:val="00677B5B"/>
    <w:rsid w:val="006803E0"/>
    <w:rsid w:val="0068056A"/>
    <w:rsid w:val="006806A3"/>
    <w:rsid w:val="006806A6"/>
    <w:rsid w:val="00680741"/>
    <w:rsid w:val="00680AC7"/>
    <w:rsid w:val="00680B34"/>
    <w:rsid w:val="00681211"/>
    <w:rsid w:val="00681474"/>
    <w:rsid w:val="00681B36"/>
    <w:rsid w:val="006822AB"/>
    <w:rsid w:val="006827B4"/>
    <w:rsid w:val="00682E14"/>
    <w:rsid w:val="00682FBE"/>
    <w:rsid w:val="006836AA"/>
    <w:rsid w:val="006836D6"/>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E4B"/>
    <w:rsid w:val="00691F1E"/>
    <w:rsid w:val="0069289D"/>
    <w:rsid w:val="00692CDC"/>
    <w:rsid w:val="006934A7"/>
    <w:rsid w:val="00693A28"/>
    <w:rsid w:val="00693E1F"/>
    <w:rsid w:val="00693ECB"/>
    <w:rsid w:val="00694266"/>
    <w:rsid w:val="006943B2"/>
    <w:rsid w:val="00694797"/>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C89"/>
    <w:rsid w:val="006A3E2B"/>
    <w:rsid w:val="006A41AA"/>
    <w:rsid w:val="006A4654"/>
    <w:rsid w:val="006A4B01"/>
    <w:rsid w:val="006A50B0"/>
    <w:rsid w:val="006A5403"/>
    <w:rsid w:val="006A597C"/>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A2B"/>
    <w:rsid w:val="006B6B61"/>
    <w:rsid w:val="006B7823"/>
    <w:rsid w:val="006B7840"/>
    <w:rsid w:val="006B7C3F"/>
    <w:rsid w:val="006B7D22"/>
    <w:rsid w:val="006B7D2C"/>
    <w:rsid w:val="006B7EAC"/>
    <w:rsid w:val="006C07EC"/>
    <w:rsid w:val="006C0DDC"/>
    <w:rsid w:val="006C0EED"/>
    <w:rsid w:val="006C1019"/>
    <w:rsid w:val="006C1048"/>
    <w:rsid w:val="006C141C"/>
    <w:rsid w:val="006C1798"/>
    <w:rsid w:val="006C1C23"/>
    <w:rsid w:val="006C2BB5"/>
    <w:rsid w:val="006C2BEE"/>
    <w:rsid w:val="006C3AD8"/>
    <w:rsid w:val="006C42DB"/>
    <w:rsid w:val="006C4438"/>
    <w:rsid w:val="006C4516"/>
    <w:rsid w:val="006C455E"/>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7EA"/>
    <w:rsid w:val="006C781F"/>
    <w:rsid w:val="006C7B09"/>
    <w:rsid w:val="006C7CFF"/>
    <w:rsid w:val="006C7D58"/>
    <w:rsid w:val="006D00C2"/>
    <w:rsid w:val="006D00DB"/>
    <w:rsid w:val="006D0361"/>
    <w:rsid w:val="006D0677"/>
    <w:rsid w:val="006D07E0"/>
    <w:rsid w:val="006D16B0"/>
    <w:rsid w:val="006D1B32"/>
    <w:rsid w:val="006D214E"/>
    <w:rsid w:val="006D2182"/>
    <w:rsid w:val="006D2444"/>
    <w:rsid w:val="006D254B"/>
    <w:rsid w:val="006D2666"/>
    <w:rsid w:val="006D289B"/>
    <w:rsid w:val="006D29D3"/>
    <w:rsid w:val="006D2C86"/>
    <w:rsid w:val="006D3BE1"/>
    <w:rsid w:val="006D427F"/>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49E"/>
    <w:rsid w:val="006E799D"/>
    <w:rsid w:val="006E7AD6"/>
    <w:rsid w:val="006E7AFA"/>
    <w:rsid w:val="006F01CE"/>
    <w:rsid w:val="006F0593"/>
    <w:rsid w:val="006F05EF"/>
    <w:rsid w:val="006F06C8"/>
    <w:rsid w:val="006F0D33"/>
    <w:rsid w:val="006F0F1B"/>
    <w:rsid w:val="006F1064"/>
    <w:rsid w:val="006F1365"/>
    <w:rsid w:val="006F1437"/>
    <w:rsid w:val="006F150A"/>
    <w:rsid w:val="006F1550"/>
    <w:rsid w:val="006F1D80"/>
    <w:rsid w:val="006F1EB7"/>
    <w:rsid w:val="006F29A2"/>
    <w:rsid w:val="006F343B"/>
    <w:rsid w:val="006F365B"/>
    <w:rsid w:val="006F39F9"/>
    <w:rsid w:val="006F3BEF"/>
    <w:rsid w:val="006F4895"/>
    <w:rsid w:val="006F48D6"/>
    <w:rsid w:val="006F4BB0"/>
    <w:rsid w:val="006F4F23"/>
    <w:rsid w:val="006F5231"/>
    <w:rsid w:val="006F52E5"/>
    <w:rsid w:val="006F5682"/>
    <w:rsid w:val="006F5A18"/>
    <w:rsid w:val="006F5EC2"/>
    <w:rsid w:val="006F5F05"/>
    <w:rsid w:val="006F6066"/>
    <w:rsid w:val="006F63D8"/>
    <w:rsid w:val="006F63FC"/>
    <w:rsid w:val="006F65D2"/>
    <w:rsid w:val="006F6850"/>
    <w:rsid w:val="006F707E"/>
    <w:rsid w:val="006F72F3"/>
    <w:rsid w:val="006F77A2"/>
    <w:rsid w:val="006F7A17"/>
    <w:rsid w:val="006F7D15"/>
    <w:rsid w:val="006F7DAE"/>
    <w:rsid w:val="007001B1"/>
    <w:rsid w:val="007001DC"/>
    <w:rsid w:val="00700274"/>
    <w:rsid w:val="007002CE"/>
    <w:rsid w:val="00700528"/>
    <w:rsid w:val="00700A59"/>
    <w:rsid w:val="00701215"/>
    <w:rsid w:val="00701229"/>
    <w:rsid w:val="00701543"/>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16E"/>
    <w:rsid w:val="00705C38"/>
    <w:rsid w:val="00705F6D"/>
    <w:rsid w:val="00706168"/>
    <w:rsid w:val="00706465"/>
    <w:rsid w:val="00706877"/>
    <w:rsid w:val="0070695A"/>
    <w:rsid w:val="00706A77"/>
    <w:rsid w:val="00706C00"/>
    <w:rsid w:val="00706CAA"/>
    <w:rsid w:val="00707418"/>
    <w:rsid w:val="007075E0"/>
    <w:rsid w:val="0070782D"/>
    <w:rsid w:val="00707C46"/>
    <w:rsid w:val="007100A0"/>
    <w:rsid w:val="007100A2"/>
    <w:rsid w:val="007100E4"/>
    <w:rsid w:val="00710179"/>
    <w:rsid w:val="00710759"/>
    <w:rsid w:val="007109C2"/>
    <w:rsid w:val="00710DAD"/>
    <w:rsid w:val="00710E7A"/>
    <w:rsid w:val="007111E6"/>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A0C"/>
    <w:rsid w:val="00713DE4"/>
    <w:rsid w:val="00713E3C"/>
    <w:rsid w:val="00714471"/>
    <w:rsid w:val="00714C47"/>
    <w:rsid w:val="00714EEF"/>
    <w:rsid w:val="00715EA9"/>
    <w:rsid w:val="00715F8E"/>
    <w:rsid w:val="00716160"/>
    <w:rsid w:val="00716462"/>
    <w:rsid w:val="00716666"/>
    <w:rsid w:val="00716C4B"/>
    <w:rsid w:val="00716C4F"/>
    <w:rsid w:val="00716D56"/>
    <w:rsid w:val="00716E53"/>
    <w:rsid w:val="0071712C"/>
    <w:rsid w:val="0071744A"/>
    <w:rsid w:val="00717722"/>
    <w:rsid w:val="00717947"/>
    <w:rsid w:val="007200E1"/>
    <w:rsid w:val="0072039D"/>
    <w:rsid w:val="0072060F"/>
    <w:rsid w:val="00720EAE"/>
    <w:rsid w:val="00721084"/>
    <w:rsid w:val="00721262"/>
    <w:rsid w:val="0072140B"/>
    <w:rsid w:val="0072174B"/>
    <w:rsid w:val="00721B53"/>
    <w:rsid w:val="00721D9B"/>
    <w:rsid w:val="00722121"/>
    <w:rsid w:val="007224B9"/>
    <w:rsid w:val="00722D9B"/>
    <w:rsid w:val="00722F66"/>
    <w:rsid w:val="00722F94"/>
    <w:rsid w:val="007230DC"/>
    <w:rsid w:val="00723768"/>
    <w:rsid w:val="007239A9"/>
    <w:rsid w:val="00723AA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0D5"/>
    <w:rsid w:val="007312F6"/>
    <w:rsid w:val="00731309"/>
    <w:rsid w:val="00731672"/>
    <w:rsid w:val="007318BF"/>
    <w:rsid w:val="00731BB1"/>
    <w:rsid w:val="00731E2F"/>
    <w:rsid w:val="00731E7C"/>
    <w:rsid w:val="0073276B"/>
    <w:rsid w:val="007329EF"/>
    <w:rsid w:val="00732BB1"/>
    <w:rsid w:val="00733268"/>
    <w:rsid w:val="0073327A"/>
    <w:rsid w:val="007334C3"/>
    <w:rsid w:val="00733C9D"/>
    <w:rsid w:val="00734B20"/>
    <w:rsid w:val="00734EBE"/>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3785B"/>
    <w:rsid w:val="00740442"/>
    <w:rsid w:val="0074076A"/>
    <w:rsid w:val="00740E4F"/>
    <w:rsid w:val="00740F79"/>
    <w:rsid w:val="00741134"/>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BA4"/>
    <w:rsid w:val="00745F2B"/>
    <w:rsid w:val="00746130"/>
    <w:rsid w:val="0074638D"/>
    <w:rsid w:val="00746426"/>
    <w:rsid w:val="00746484"/>
    <w:rsid w:val="0074682A"/>
    <w:rsid w:val="00746D22"/>
    <w:rsid w:val="0074704F"/>
    <w:rsid w:val="007476D6"/>
    <w:rsid w:val="007479D1"/>
    <w:rsid w:val="00747BAD"/>
    <w:rsid w:val="00747F48"/>
    <w:rsid w:val="00747F4C"/>
    <w:rsid w:val="0075053D"/>
    <w:rsid w:val="00751091"/>
    <w:rsid w:val="00751B6D"/>
    <w:rsid w:val="00751B83"/>
    <w:rsid w:val="00751CBB"/>
    <w:rsid w:val="00751D40"/>
    <w:rsid w:val="00752086"/>
    <w:rsid w:val="0075214F"/>
    <w:rsid w:val="0075248A"/>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3EA"/>
    <w:rsid w:val="0076041A"/>
    <w:rsid w:val="0076063D"/>
    <w:rsid w:val="00760975"/>
    <w:rsid w:val="00760C3F"/>
    <w:rsid w:val="0076193A"/>
    <w:rsid w:val="00761FDA"/>
    <w:rsid w:val="0076205E"/>
    <w:rsid w:val="007621FF"/>
    <w:rsid w:val="00762662"/>
    <w:rsid w:val="007627C0"/>
    <w:rsid w:val="007629A0"/>
    <w:rsid w:val="00763412"/>
    <w:rsid w:val="007634E3"/>
    <w:rsid w:val="00763799"/>
    <w:rsid w:val="00763EC5"/>
    <w:rsid w:val="00764194"/>
    <w:rsid w:val="0076463F"/>
    <w:rsid w:val="00764953"/>
    <w:rsid w:val="00764CA4"/>
    <w:rsid w:val="00764DD8"/>
    <w:rsid w:val="00765351"/>
    <w:rsid w:val="00765CDE"/>
    <w:rsid w:val="00765ED3"/>
    <w:rsid w:val="00766008"/>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99D"/>
    <w:rsid w:val="007820FA"/>
    <w:rsid w:val="0078237B"/>
    <w:rsid w:val="00782644"/>
    <w:rsid w:val="00782789"/>
    <w:rsid w:val="0078283C"/>
    <w:rsid w:val="0078285F"/>
    <w:rsid w:val="007829A0"/>
    <w:rsid w:val="00782C05"/>
    <w:rsid w:val="00783207"/>
    <w:rsid w:val="00783259"/>
    <w:rsid w:val="0078332A"/>
    <w:rsid w:val="00783659"/>
    <w:rsid w:val="00783DBB"/>
    <w:rsid w:val="00783E1D"/>
    <w:rsid w:val="0078483B"/>
    <w:rsid w:val="00784865"/>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A24"/>
    <w:rsid w:val="00790CC5"/>
    <w:rsid w:val="00790E23"/>
    <w:rsid w:val="00790E42"/>
    <w:rsid w:val="00791266"/>
    <w:rsid w:val="0079162F"/>
    <w:rsid w:val="00792657"/>
    <w:rsid w:val="00793A3B"/>
    <w:rsid w:val="007940AC"/>
    <w:rsid w:val="007942CD"/>
    <w:rsid w:val="00794300"/>
    <w:rsid w:val="00794371"/>
    <w:rsid w:val="007943CF"/>
    <w:rsid w:val="0079456F"/>
    <w:rsid w:val="00794800"/>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351"/>
    <w:rsid w:val="007A1C9F"/>
    <w:rsid w:val="007A1F44"/>
    <w:rsid w:val="007A228D"/>
    <w:rsid w:val="007A23FF"/>
    <w:rsid w:val="007A2581"/>
    <w:rsid w:val="007A295B"/>
    <w:rsid w:val="007A298F"/>
    <w:rsid w:val="007A2A02"/>
    <w:rsid w:val="007A2FC3"/>
    <w:rsid w:val="007A3424"/>
    <w:rsid w:val="007A35EF"/>
    <w:rsid w:val="007A3D65"/>
    <w:rsid w:val="007A42C0"/>
    <w:rsid w:val="007A43A2"/>
    <w:rsid w:val="007A4464"/>
    <w:rsid w:val="007A4C16"/>
    <w:rsid w:val="007A4D04"/>
    <w:rsid w:val="007A4E39"/>
    <w:rsid w:val="007A5554"/>
    <w:rsid w:val="007A58D9"/>
    <w:rsid w:val="007A596E"/>
    <w:rsid w:val="007A5B7F"/>
    <w:rsid w:val="007A5E36"/>
    <w:rsid w:val="007A690F"/>
    <w:rsid w:val="007A724C"/>
    <w:rsid w:val="007A7A96"/>
    <w:rsid w:val="007A7E75"/>
    <w:rsid w:val="007A7EF5"/>
    <w:rsid w:val="007A7F6A"/>
    <w:rsid w:val="007B03AF"/>
    <w:rsid w:val="007B04E6"/>
    <w:rsid w:val="007B0C5C"/>
    <w:rsid w:val="007B0E65"/>
    <w:rsid w:val="007B0F58"/>
    <w:rsid w:val="007B114C"/>
    <w:rsid w:val="007B11C6"/>
    <w:rsid w:val="007B149E"/>
    <w:rsid w:val="007B1543"/>
    <w:rsid w:val="007B1AC0"/>
    <w:rsid w:val="007B1DA8"/>
    <w:rsid w:val="007B2019"/>
    <w:rsid w:val="007B23FA"/>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13F"/>
    <w:rsid w:val="007B52CD"/>
    <w:rsid w:val="007B56BA"/>
    <w:rsid w:val="007B58F4"/>
    <w:rsid w:val="007B5A5D"/>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E25"/>
    <w:rsid w:val="007C3FA8"/>
    <w:rsid w:val="007C4A2C"/>
    <w:rsid w:val="007C50E4"/>
    <w:rsid w:val="007C5869"/>
    <w:rsid w:val="007C5FE6"/>
    <w:rsid w:val="007C61F7"/>
    <w:rsid w:val="007C620C"/>
    <w:rsid w:val="007C68DA"/>
    <w:rsid w:val="007C6B2B"/>
    <w:rsid w:val="007C6D5B"/>
    <w:rsid w:val="007C6F91"/>
    <w:rsid w:val="007C6FA8"/>
    <w:rsid w:val="007C7CA1"/>
    <w:rsid w:val="007C7DD7"/>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EE"/>
    <w:rsid w:val="007E3915"/>
    <w:rsid w:val="007E409F"/>
    <w:rsid w:val="007E444A"/>
    <w:rsid w:val="007E4AC3"/>
    <w:rsid w:val="007E4C88"/>
    <w:rsid w:val="007E5816"/>
    <w:rsid w:val="007E585E"/>
    <w:rsid w:val="007E6616"/>
    <w:rsid w:val="007E671D"/>
    <w:rsid w:val="007E6CDB"/>
    <w:rsid w:val="007E7067"/>
    <w:rsid w:val="007E71CF"/>
    <w:rsid w:val="007E7717"/>
    <w:rsid w:val="007E781D"/>
    <w:rsid w:val="007E7DDF"/>
    <w:rsid w:val="007F00BC"/>
    <w:rsid w:val="007F05B8"/>
    <w:rsid w:val="007F0752"/>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4E3F"/>
    <w:rsid w:val="007F50E5"/>
    <w:rsid w:val="007F527B"/>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48A"/>
    <w:rsid w:val="008019B9"/>
    <w:rsid w:val="00801A7E"/>
    <w:rsid w:val="00802D4B"/>
    <w:rsid w:val="00802E74"/>
    <w:rsid w:val="00803020"/>
    <w:rsid w:val="00803343"/>
    <w:rsid w:val="008033FB"/>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398"/>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AFB"/>
    <w:rsid w:val="00813B31"/>
    <w:rsid w:val="0081449A"/>
    <w:rsid w:val="00814565"/>
    <w:rsid w:val="00814A06"/>
    <w:rsid w:val="00814ED9"/>
    <w:rsid w:val="00814F93"/>
    <w:rsid w:val="0081505C"/>
    <w:rsid w:val="008154F1"/>
    <w:rsid w:val="008157E8"/>
    <w:rsid w:val="0081581D"/>
    <w:rsid w:val="00816F50"/>
    <w:rsid w:val="008172BE"/>
    <w:rsid w:val="0081735F"/>
    <w:rsid w:val="008177BB"/>
    <w:rsid w:val="008177C3"/>
    <w:rsid w:val="00817B71"/>
    <w:rsid w:val="00817D32"/>
    <w:rsid w:val="00817D9A"/>
    <w:rsid w:val="00820184"/>
    <w:rsid w:val="00820244"/>
    <w:rsid w:val="00820F07"/>
    <w:rsid w:val="008221B3"/>
    <w:rsid w:val="0082248E"/>
    <w:rsid w:val="00822508"/>
    <w:rsid w:val="00822565"/>
    <w:rsid w:val="008228EA"/>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E8A"/>
    <w:rsid w:val="00835FE5"/>
    <w:rsid w:val="00836028"/>
    <w:rsid w:val="00836E70"/>
    <w:rsid w:val="00836F92"/>
    <w:rsid w:val="00836FEB"/>
    <w:rsid w:val="00836FFF"/>
    <w:rsid w:val="008376F6"/>
    <w:rsid w:val="008377EA"/>
    <w:rsid w:val="00837A73"/>
    <w:rsid w:val="00837D5B"/>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5F1"/>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9C6"/>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A92"/>
    <w:rsid w:val="00867BD2"/>
    <w:rsid w:val="00867DAC"/>
    <w:rsid w:val="00870039"/>
    <w:rsid w:val="008702BF"/>
    <w:rsid w:val="0087038B"/>
    <w:rsid w:val="00870AFF"/>
    <w:rsid w:val="008712F3"/>
    <w:rsid w:val="008712FD"/>
    <w:rsid w:val="00871389"/>
    <w:rsid w:val="008716A1"/>
    <w:rsid w:val="00871914"/>
    <w:rsid w:val="0087252D"/>
    <w:rsid w:val="008726ED"/>
    <w:rsid w:val="00872D3F"/>
    <w:rsid w:val="008733E4"/>
    <w:rsid w:val="00873484"/>
    <w:rsid w:val="008737A8"/>
    <w:rsid w:val="00873B01"/>
    <w:rsid w:val="00873F15"/>
    <w:rsid w:val="0087401C"/>
    <w:rsid w:val="00874096"/>
    <w:rsid w:val="008740EF"/>
    <w:rsid w:val="00875045"/>
    <w:rsid w:val="00875297"/>
    <w:rsid w:val="00875370"/>
    <w:rsid w:val="008756A4"/>
    <w:rsid w:val="00875EA3"/>
    <w:rsid w:val="00875F73"/>
    <w:rsid w:val="0087601F"/>
    <w:rsid w:val="00876257"/>
    <w:rsid w:val="00876537"/>
    <w:rsid w:val="00876540"/>
    <w:rsid w:val="00876760"/>
    <w:rsid w:val="008778F9"/>
    <w:rsid w:val="008802D9"/>
    <w:rsid w:val="00880438"/>
    <w:rsid w:val="0088090C"/>
    <w:rsid w:val="00880A29"/>
    <w:rsid w:val="00880F30"/>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3DD"/>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4C2"/>
    <w:rsid w:val="008975E6"/>
    <w:rsid w:val="00897A1B"/>
    <w:rsid w:val="00897AEC"/>
    <w:rsid w:val="00897C63"/>
    <w:rsid w:val="008A01FE"/>
    <w:rsid w:val="008A0546"/>
    <w:rsid w:val="008A0AB2"/>
    <w:rsid w:val="008A0CFC"/>
    <w:rsid w:val="008A0E18"/>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D02"/>
    <w:rsid w:val="008A4205"/>
    <w:rsid w:val="008A4244"/>
    <w:rsid w:val="008A439D"/>
    <w:rsid w:val="008A46B1"/>
    <w:rsid w:val="008A4830"/>
    <w:rsid w:val="008A5159"/>
    <w:rsid w:val="008A51AC"/>
    <w:rsid w:val="008A556B"/>
    <w:rsid w:val="008A5940"/>
    <w:rsid w:val="008A5B54"/>
    <w:rsid w:val="008A5D0A"/>
    <w:rsid w:val="008A66D9"/>
    <w:rsid w:val="008A6A8A"/>
    <w:rsid w:val="008A6C6E"/>
    <w:rsid w:val="008A6C83"/>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286"/>
    <w:rsid w:val="008B49B1"/>
    <w:rsid w:val="008B4E33"/>
    <w:rsid w:val="008B5299"/>
    <w:rsid w:val="008B5936"/>
    <w:rsid w:val="008B5A5F"/>
    <w:rsid w:val="008B5AB0"/>
    <w:rsid w:val="008B6054"/>
    <w:rsid w:val="008B6222"/>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B50"/>
    <w:rsid w:val="008C6FC7"/>
    <w:rsid w:val="008C785E"/>
    <w:rsid w:val="008D000E"/>
    <w:rsid w:val="008D01B6"/>
    <w:rsid w:val="008D082F"/>
    <w:rsid w:val="008D084E"/>
    <w:rsid w:val="008D0AFB"/>
    <w:rsid w:val="008D14F4"/>
    <w:rsid w:val="008D1511"/>
    <w:rsid w:val="008D1A81"/>
    <w:rsid w:val="008D1C9B"/>
    <w:rsid w:val="008D210D"/>
    <w:rsid w:val="008D2171"/>
    <w:rsid w:val="008D2C92"/>
    <w:rsid w:val="008D2E96"/>
    <w:rsid w:val="008D32DF"/>
    <w:rsid w:val="008D33A8"/>
    <w:rsid w:val="008D35E9"/>
    <w:rsid w:val="008D38CA"/>
    <w:rsid w:val="008D3959"/>
    <w:rsid w:val="008D3966"/>
    <w:rsid w:val="008D3A2E"/>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D82"/>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BC6"/>
    <w:rsid w:val="008E5034"/>
    <w:rsid w:val="008E54FA"/>
    <w:rsid w:val="008E5BF2"/>
    <w:rsid w:val="008E5C81"/>
    <w:rsid w:val="008E5E22"/>
    <w:rsid w:val="008E6A0D"/>
    <w:rsid w:val="008E6B63"/>
    <w:rsid w:val="008E7332"/>
    <w:rsid w:val="008E7D7C"/>
    <w:rsid w:val="008F0017"/>
    <w:rsid w:val="008F04E7"/>
    <w:rsid w:val="008F0A38"/>
    <w:rsid w:val="008F0BF5"/>
    <w:rsid w:val="008F0E0A"/>
    <w:rsid w:val="008F0F84"/>
    <w:rsid w:val="008F1014"/>
    <w:rsid w:val="008F11C9"/>
    <w:rsid w:val="008F14A9"/>
    <w:rsid w:val="008F18C2"/>
    <w:rsid w:val="008F23D8"/>
    <w:rsid w:val="008F28A9"/>
    <w:rsid w:val="008F2C03"/>
    <w:rsid w:val="008F2FD5"/>
    <w:rsid w:val="008F37E5"/>
    <w:rsid w:val="008F3A19"/>
    <w:rsid w:val="008F4406"/>
    <w:rsid w:val="008F44FC"/>
    <w:rsid w:val="008F4866"/>
    <w:rsid w:val="008F48C2"/>
    <w:rsid w:val="008F4A18"/>
    <w:rsid w:val="008F4BFD"/>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88C"/>
    <w:rsid w:val="008F7C6E"/>
    <w:rsid w:val="008F7F12"/>
    <w:rsid w:val="00900053"/>
    <w:rsid w:val="00900148"/>
    <w:rsid w:val="009003A0"/>
    <w:rsid w:val="00900930"/>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40"/>
    <w:rsid w:val="00907A77"/>
    <w:rsid w:val="00907E00"/>
    <w:rsid w:val="0091088D"/>
    <w:rsid w:val="00910FC9"/>
    <w:rsid w:val="00911472"/>
    <w:rsid w:val="009115B4"/>
    <w:rsid w:val="0091238F"/>
    <w:rsid w:val="0091249B"/>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227"/>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4C5"/>
    <w:rsid w:val="009207A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029"/>
    <w:rsid w:val="00930203"/>
    <w:rsid w:val="009302BD"/>
    <w:rsid w:val="009308FA"/>
    <w:rsid w:val="0093094D"/>
    <w:rsid w:val="009309B7"/>
    <w:rsid w:val="0093117D"/>
    <w:rsid w:val="009316F7"/>
    <w:rsid w:val="009318BB"/>
    <w:rsid w:val="009318F1"/>
    <w:rsid w:val="00931CCE"/>
    <w:rsid w:val="00931EF1"/>
    <w:rsid w:val="00932091"/>
    <w:rsid w:val="00932166"/>
    <w:rsid w:val="00932381"/>
    <w:rsid w:val="00932594"/>
    <w:rsid w:val="009328C7"/>
    <w:rsid w:val="00933184"/>
    <w:rsid w:val="009336EC"/>
    <w:rsid w:val="00933776"/>
    <w:rsid w:val="00933DCB"/>
    <w:rsid w:val="00933F31"/>
    <w:rsid w:val="00933F56"/>
    <w:rsid w:val="00934439"/>
    <w:rsid w:val="009349D6"/>
    <w:rsid w:val="00934C13"/>
    <w:rsid w:val="00934CA3"/>
    <w:rsid w:val="00934DCE"/>
    <w:rsid w:val="00934ECE"/>
    <w:rsid w:val="00935228"/>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BD0"/>
    <w:rsid w:val="00946E53"/>
    <w:rsid w:val="0094724E"/>
    <w:rsid w:val="00947BE6"/>
    <w:rsid w:val="0095048D"/>
    <w:rsid w:val="009510DE"/>
    <w:rsid w:val="0095146F"/>
    <w:rsid w:val="00951660"/>
    <w:rsid w:val="0095167F"/>
    <w:rsid w:val="00951ADB"/>
    <w:rsid w:val="00951CBD"/>
    <w:rsid w:val="009520BC"/>
    <w:rsid w:val="00952620"/>
    <w:rsid w:val="00952C7B"/>
    <w:rsid w:val="009535A4"/>
    <w:rsid w:val="0095380C"/>
    <w:rsid w:val="00953C29"/>
    <w:rsid w:val="00953C36"/>
    <w:rsid w:val="00953FF5"/>
    <w:rsid w:val="0095428B"/>
    <w:rsid w:val="00954353"/>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B91"/>
    <w:rsid w:val="00960E4A"/>
    <w:rsid w:val="0096107C"/>
    <w:rsid w:val="00961288"/>
    <w:rsid w:val="009618E4"/>
    <w:rsid w:val="00961E72"/>
    <w:rsid w:val="009620FF"/>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208"/>
    <w:rsid w:val="00973348"/>
    <w:rsid w:val="00973398"/>
    <w:rsid w:val="0097345F"/>
    <w:rsid w:val="009737A3"/>
    <w:rsid w:val="009737E3"/>
    <w:rsid w:val="00973827"/>
    <w:rsid w:val="009739EB"/>
    <w:rsid w:val="009742D3"/>
    <w:rsid w:val="00974A38"/>
    <w:rsid w:val="00974B31"/>
    <w:rsid w:val="00974E1A"/>
    <w:rsid w:val="0097538F"/>
    <w:rsid w:val="009755A7"/>
    <w:rsid w:val="009758AD"/>
    <w:rsid w:val="00975D6A"/>
    <w:rsid w:val="00975E48"/>
    <w:rsid w:val="00975ECF"/>
    <w:rsid w:val="00976257"/>
    <w:rsid w:val="009768DE"/>
    <w:rsid w:val="00976A1B"/>
    <w:rsid w:val="00976E0D"/>
    <w:rsid w:val="00977091"/>
    <w:rsid w:val="009771DA"/>
    <w:rsid w:val="0097775D"/>
    <w:rsid w:val="009778B6"/>
    <w:rsid w:val="0097791F"/>
    <w:rsid w:val="009779A8"/>
    <w:rsid w:val="00977BA7"/>
    <w:rsid w:val="00977CF1"/>
    <w:rsid w:val="0098092F"/>
    <w:rsid w:val="009809CE"/>
    <w:rsid w:val="00980BFB"/>
    <w:rsid w:val="0098194F"/>
    <w:rsid w:val="00981ACB"/>
    <w:rsid w:val="00981C99"/>
    <w:rsid w:val="009822D8"/>
    <w:rsid w:val="009826C8"/>
    <w:rsid w:val="00982BA6"/>
    <w:rsid w:val="009836E4"/>
    <w:rsid w:val="00983994"/>
    <w:rsid w:val="00983E12"/>
    <w:rsid w:val="009840EC"/>
    <w:rsid w:val="0098412F"/>
    <w:rsid w:val="00984534"/>
    <w:rsid w:val="00984748"/>
    <w:rsid w:val="00984845"/>
    <w:rsid w:val="00984A8E"/>
    <w:rsid w:val="00984CD7"/>
    <w:rsid w:val="009856C8"/>
    <w:rsid w:val="00985892"/>
    <w:rsid w:val="00985C40"/>
    <w:rsid w:val="00985F28"/>
    <w:rsid w:val="00985F70"/>
    <w:rsid w:val="0098608B"/>
    <w:rsid w:val="00986149"/>
    <w:rsid w:val="00986176"/>
    <w:rsid w:val="0098693D"/>
    <w:rsid w:val="00986E7F"/>
    <w:rsid w:val="00987536"/>
    <w:rsid w:val="009878B0"/>
    <w:rsid w:val="0099066B"/>
    <w:rsid w:val="00990BD5"/>
    <w:rsid w:val="00991378"/>
    <w:rsid w:val="009913B4"/>
    <w:rsid w:val="009913C4"/>
    <w:rsid w:val="0099184D"/>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566"/>
    <w:rsid w:val="00995675"/>
    <w:rsid w:val="00995A93"/>
    <w:rsid w:val="00995C95"/>
    <w:rsid w:val="00995E85"/>
    <w:rsid w:val="00996468"/>
    <w:rsid w:val="00996876"/>
    <w:rsid w:val="00996FFA"/>
    <w:rsid w:val="009973F1"/>
    <w:rsid w:val="009973F3"/>
    <w:rsid w:val="00997663"/>
    <w:rsid w:val="009978A4"/>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A86"/>
    <w:rsid w:val="009A3CAC"/>
    <w:rsid w:val="009A3E27"/>
    <w:rsid w:val="009A4869"/>
    <w:rsid w:val="009A4A12"/>
    <w:rsid w:val="009A52FC"/>
    <w:rsid w:val="009A5D7D"/>
    <w:rsid w:val="009A6033"/>
    <w:rsid w:val="009A60CC"/>
    <w:rsid w:val="009A65FD"/>
    <w:rsid w:val="009A6A6B"/>
    <w:rsid w:val="009A6B08"/>
    <w:rsid w:val="009A6DA0"/>
    <w:rsid w:val="009A6FE5"/>
    <w:rsid w:val="009A7177"/>
    <w:rsid w:val="009A7382"/>
    <w:rsid w:val="009A745C"/>
    <w:rsid w:val="009A7B3F"/>
    <w:rsid w:val="009A7D66"/>
    <w:rsid w:val="009B06F4"/>
    <w:rsid w:val="009B081F"/>
    <w:rsid w:val="009B0E89"/>
    <w:rsid w:val="009B0FDC"/>
    <w:rsid w:val="009B12A1"/>
    <w:rsid w:val="009B174D"/>
    <w:rsid w:val="009B1DB8"/>
    <w:rsid w:val="009B1EF2"/>
    <w:rsid w:val="009B1EF9"/>
    <w:rsid w:val="009B20B3"/>
    <w:rsid w:val="009B246F"/>
    <w:rsid w:val="009B26AC"/>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4FA5"/>
    <w:rsid w:val="009C534D"/>
    <w:rsid w:val="009C5CCA"/>
    <w:rsid w:val="009C5DE1"/>
    <w:rsid w:val="009C62DA"/>
    <w:rsid w:val="009C64EB"/>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37C1"/>
    <w:rsid w:val="009D4042"/>
    <w:rsid w:val="009D46E6"/>
    <w:rsid w:val="009D4A5B"/>
    <w:rsid w:val="009D503F"/>
    <w:rsid w:val="009D5137"/>
    <w:rsid w:val="009D5AD2"/>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D34"/>
    <w:rsid w:val="009E3AFD"/>
    <w:rsid w:val="009E3B75"/>
    <w:rsid w:val="009E3CDD"/>
    <w:rsid w:val="009E3D2F"/>
    <w:rsid w:val="009E3E7D"/>
    <w:rsid w:val="009E4B16"/>
    <w:rsid w:val="009E55DA"/>
    <w:rsid w:val="009E55E3"/>
    <w:rsid w:val="009E563F"/>
    <w:rsid w:val="009E56EE"/>
    <w:rsid w:val="009E5C60"/>
    <w:rsid w:val="009E5F05"/>
    <w:rsid w:val="009E64DB"/>
    <w:rsid w:val="009E64DC"/>
    <w:rsid w:val="009E6794"/>
    <w:rsid w:val="009E67FB"/>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B8E"/>
    <w:rsid w:val="009F521F"/>
    <w:rsid w:val="009F524D"/>
    <w:rsid w:val="009F553C"/>
    <w:rsid w:val="009F56F9"/>
    <w:rsid w:val="009F59F8"/>
    <w:rsid w:val="009F612B"/>
    <w:rsid w:val="009F62B2"/>
    <w:rsid w:val="009F62EB"/>
    <w:rsid w:val="009F63AC"/>
    <w:rsid w:val="009F649E"/>
    <w:rsid w:val="009F6548"/>
    <w:rsid w:val="009F7D73"/>
    <w:rsid w:val="009F7E9D"/>
    <w:rsid w:val="00A003C2"/>
    <w:rsid w:val="00A005B0"/>
    <w:rsid w:val="00A00A8C"/>
    <w:rsid w:val="00A00E87"/>
    <w:rsid w:val="00A00EE2"/>
    <w:rsid w:val="00A0105F"/>
    <w:rsid w:val="00A010B3"/>
    <w:rsid w:val="00A013E5"/>
    <w:rsid w:val="00A01771"/>
    <w:rsid w:val="00A01EA9"/>
    <w:rsid w:val="00A01F17"/>
    <w:rsid w:val="00A01F40"/>
    <w:rsid w:val="00A0200A"/>
    <w:rsid w:val="00A022A5"/>
    <w:rsid w:val="00A024A7"/>
    <w:rsid w:val="00A02634"/>
    <w:rsid w:val="00A02CAD"/>
    <w:rsid w:val="00A02D73"/>
    <w:rsid w:val="00A0323D"/>
    <w:rsid w:val="00A0362E"/>
    <w:rsid w:val="00A03882"/>
    <w:rsid w:val="00A03A22"/>
    <w:rsid w:val="00A04616"/>
    <w:rsid w:val="00A04634"/>
    <w:rsid w:val="00A0498A"/>
    <w:rsid w:val="00A04DD2"/>
    <w:rsid w:val="00A04DE8"/>
    <w:rsid w:val="00A04E7E"/>
    <w:rsid w:val="00A0536E"/>
    <w:rsid w:val="00A0556D"/>
    <w:rsid w:val="00A05F77"/>
    <w:rsid w:val="00A06119"/>
    <w:rsid w:val="00A0697E"/>
    <w:rsid w:val="00A07278"/>
    <w:rsid w:val="00A07326"/>
    <w:rsid w:val="00A07677"/>
    <w:rsid w:val="00A07896"/>
    <w:rsid w:val="00A079A9"/>
    <w:rsid w:val="00A07A48"/>
    <w:rsid w:val="00A07BB2"/>
    <w:rsid w:val="00A07C4D"/>
    <w:rsid w:val="00A07FF9"/>
    <w:rsid w:val="00A10304"/>
    <w:rsid w:val="00A1031D"/>
    <w:rsid w:val="00A10554"/>
    <w:rsid w:val="00A10678"/>
    <w:rsid w:val="00A106E5"/>
    <w:rsid w:val="00A108EE"/>
    <w:rsid w:val="00A10943"/>
    <w:rsid w:val="00A10B5A"/>
    <w:rsid w:val="00A10BB8"/>
    <w:rsid w:val="00A10D59"/>
    <w:rsid w:val="00A10E1B"/>
    <w:rsid w:val="00A10F29"/>
    <w:rsid w:val="00A11213"/>
    <w:rsid w:val="00A11295"/>
    <w:rsid w:val="00A130D7"/>
    <w:rsid w:val="00A131F6"/>
    <w:rsid w:val="00A13687"/>
    <w:rsid w:val="00A137E4"/>
    <w:rsid w:val="00A13922"/>
    <w:rsid w:val="00A1399F"/>
    <w:rsid w:val="00A13A57"/>
    <w:rsid w:val="00A13B00"/>
    <w:rsid w:val="00A13F2A"/>
    <w:rsid w:val="00A1420F"/>
    <w:rsid w:val="00A144CB"/>
    <w:rsid w:val="00A14813"/>
    <w:rsid w:val="00A1566A"/>
    <w:rsid w:val="00A1601C"/>
    <w:rsid w:val="00A16471"/>
    <w:rsid w:val="00A165BF"/>
    <w:rsid w:val="00A172E8"/>
    <w:rsid w:val="00A179FF"/>
    <w:rsid w:val="00A17FE6"/>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475"/>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4D9"/>
    <w:rsid w:val="00A31594"/>
    <w:rsid w:val="00A318DE"/>
    <w:rsid w:val="00A319D0"/>
    <w:rsid w:val="00A31E42"/>
    <w:rsid w:val="00A321C7"/>
    <w:rsid w:val="00A32316"/>
    <w:rsid w:val="00A3294B"/>
    <w:rsid w:val="00A32BB7"/>
    <w:rsid w:val="00A33172"/>
    <w:rsid w:val="00A334B1"/>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15EC"/>
    <w:rsid w:val="00A420C8"/>
    <w:rsid w:val="00A42EB2"/>
    <w:rsid w:val="00A43157"/>
    <w:rsid w:val="00A4348E"/>
    <w:rsid w:val="00A4376F"/>
    <w:rsid w:val="00A43BBB"/>
    <w:rsid w:val="00A44729"/>
    <w:rsid w:val="00A44CAC"/>
    <w:rsid w:val="00A45232"/>
    <w:rsid w:val="00A45295"/>
    <w:rsid w:val="00A45437"/>
    <w:rsid w:val="00A4549F"/>
    <w:rsid w:val="00A455C9"/>
    <w:rsid w:val="00A45B67"/>
    <w:rsid w:val="00A45B9B"/>
    <w:rsid w:val="00A45BA2"/>
    <w:rsid w:val="00A45DD7"/>
    <w:rsid w:val="00A462D6"/>
    <w:rsid w:val="00A462FE"/>
    <w:rsid w:val="00A469AF"/>
    <w:rsid w:val="00A4706E"/>
    <w:rsid w:val="00A476DA"/>
    <w:rsid w:val="00A4795A"/>
    <w:rsid w:val="00A47A4D"/>
    <w:rsid w:val="00A47DD3"/>
    <w:rsid w:val="00A500B8"/>
    <w:rsid w:val="00A500DF"/>
    <w:rsid w:val="00A501C9"/>
    <w:rsid w:val="00A503CC"/>
    <w:rsid w:val="00A50506"/>
    <w:rsid w:val="00A50AAE"/>
    <w:rsid w:val="00A50DEC"/>
    <w:rsid w:val="00A50E88"/>
    <w:rsid w:val="00A51AD7"/>
    <w:rsid w:val="00A5237B"/>
    <w:rsid w:val="00A52A3B"/>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F9"/>
    <w:rsid w:val="00A5660E"/>
    <w:rsid w:val="00A5684D"/>
    <w:rsid w:val="00A5697F"/>
    <w:rsid w:val="00A569D4"/>
    <w:rsid w:val="00A56DE0"/>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709"/>
    <w:rsid w:val="00A66C46"/>
    <w:rsid w:val="00A6707D"/>
    <w:rsid w:val="00A6722C"/>
    <w:rsid w:val="00A67544"/>
    <w:rsid w:val="00A67856"/>
    <w:rsid w:val="00A67B39"/>
    <w:rsid w:val="00A7075B"/>
    <w:rsid w:val="00A70C02"/>
    <w:rsid w:val="00A70C67"/>
    <w:rsid w:val="00A70E14"/>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64"/>
    <w:rsid w:val="00A74A92"/>
    <w:rsid w:val="00A75CC1"/>
    <w:rsid w:val="00A75E88"/>
    <w:rsid w:val="00A7664A"/>
    <w:rsid w:val="00A76AA9"/>
    <w:rsid w:val="00A76AF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98B"/>
    <w:rsid w:val="00A86D63"/>
    <w:rsid w:val="00A86E57"/>
    <w:rsid w:val="00A87797"/>
    <w:rsid w:val="00A87977"/>
    <w:rsid w:val="00A87E7B"/>
    <w:rsid w:val="00A90131"/>
    <w:rsid w:val="00A909BB"/>
    <w:rsid w:val="00A90B97"/>
    <w:rsid w:val="00A90DE9"/>
    <w:rsid w:val="00A90E72"/>
    <w:rsid w:val="00A910F9"/>
    <w:rsid w:val="00A91DC1"/>
    <w:rsid w:val="00A922A2"/>
    <w:rsid w:val="00A92ED8"/>
    <w:rsid w:val="00A9327B"/>
    <w:rsid w:val="00A93A98"/>
    <w:rsid w:val="00A93B69"/>
    <w:rsid w:val="00A94098"/>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111"/>
    <w:rsid w:val="00AA2635"/>
    <w:rsid w:val="00AA26E3"/>
    <w:rsid w:val="00AA2AC8"/>
    <w:rsid w:val="00AA31EE"/>
    <w:rsid w:val="00AA3842"/>
    <w:rsid w:val="00AA384D"/>
    <w:rsid w:val="00AA3DB7"/>
    <w:rsid w:val="00AA3FCD"/>
    <w:rsid w:val="00AA4778"/>
    <w:rsid w:val="00AA4876"/>
    <w:rsid w:val="00AA4F18"/>
    <w:rsid w:val="00AA505A"/>
    <w:rsid w:val="00AA51F5"/>
    <w:rsid w:val="00AA59BE"/>
    <w:rsid w:val="00AA5CB9"/>
    <w:rsid w:val="00AA5E3B"/>
    <w:rsid w:val="00AA601F"/>
    <w:rsid w:val="00AA68B4"/>
    <w:rsid w:val="00AA6938"/>
    <w:rsid w:val="00AA6A0E"/>
    <w:rsid w:val="00AA74AC"/>
    <w:rsid w:val="00AA76F0"/>
    <w:rsid w:val="00AA7AB8"/>
    <w:rsid w:val="00AA7CED"/>
    <w:rsid w:val="00AA7E61"/>
    <w:rsid w:val="00AA7F24"/>
    <w:rsid w:val="00AA7F3C"/>
    <w:rsid w:val="00AA7F53"/>
    <w:rsid w:val="00AB027A"/>
    <w:rsid w:val="00AB0456"/>
    <w:rsid w:val="00AB0489"/>
    <w:rsid w:val="00AB0543"/>
    <w:rsid w:val="00AB0AC9"/>
    <w:rsid w:val="00AB0BF8"/>
    <w:rsid w:val="00AB0C6B"/>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0AB"/>
    <w:rsid w:val="00AB43EC"/>
    <w:rsid w:val="00AB44F6"/>
    <w:rsid w:val="00AB48F1"/>
    <w:rsid w:val="00AB4921"/>
    <w:rsid w:val="00AB4BF4"/>
    <w:rsid w:val="00AB4C00"/>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15BF"/>
    <w:rsid w:val="00AC22FA"/>
    <w:rsid w:val="00AC268E"/>
    <w:rsid w:val="00AC2EC3"/>
    <w:rsid w:val="00AC32B0"/>
    <w:rsid w:val="00AC32FC"/>
    <w:rsid w:val="00AC349D"/>
    <w:rsid w:val="00AC3A83"/>
    <w:rsid w:val="00AC3C38"/>
    <w:rsid w:val="00AC3DEA"/>
    <w:rsid w:val="00AC3E0A"/>
    <w:rsid w:val="00AC4903"/>
    <w:rsid w:val="00AC5144"/>
    <w:rsid w:val="00AC5243"/>
    <w:rsid w:val="00AC5548"/>
    <w:rsid w:val="00AC63D7"/>
    <w:rsid w:val="00AC63D8"/>
    <w:rsid w:val="00AC6B0F"/>
    <w:rsid w:val="00AC71DB"/>
    <w:rsid w:val="00AC72A8"/>
    <w:rsid w:val="00AC74DA"/>
    <w:rsid w:val="00AC7A2B"/>
    <w:rsid w:val="00AC7C25"/>
    <w:rsid w:val="00AC7C89"/>
    <w:rsid w:val="00AD06C6"/>
    <w:rsid w:val="00AD0701"/>
    <w:rsid w:val="00AD0A51"/>
    <w:rsid w:val="00AD0B37"/>
    <w:rsid w:val="00AD0C8F"/>
    <w:rsid w:val="00AD11A7"/>
    <w:rsid w:val="00AD11F7"/>
    <w:rsid w:val="00AD1379"/>
    <w:rsid w:val="00AD1426"/>
    <w:rsid w:val="00AD1DB7"/>
    <w:rsid w:val="00AD249B"/>
    <w:rsid w:val="00AD269B"/>
    <w:rsid w:val="00AD2852"/>
    <w:rsid w:val="00AD2AAC"/>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72"/>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A7D"/>
    <w:rsid w:val="00AE4B3A"/>
    <w:rsid w:val="00AE4E2D"/>
    <w:rsid w:val="00AE57A7"/>
    <w:rsid w:val="00AE5998"/>
    <w:rsid w:val="00AE59EC"/>
    <w:rsid w:val="00AE5AE1"/>
    <w:rsid w:val="00AE5FD8"/>
    <w:rsid w:val="00AE6183"/>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607"/>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5F5"/>
    <w:rsid w:val="00B019DC"/>
    <w:rsid w:val="00B01F39"/>
    <w:rsid w:val="00B021DB"/>
    <w:rsid w:val="00B026C1"/>
    <w:rsid w:val="00B02827"/>
    <w:rsid w:val="00B02A69"/>
    <w:rsid w:val="00B02B9C"/>
    <w:rsid w:val="00B0353B"/>
    <w:rsid w:val="00B03701"/>
    <w:rsid w:val="00B03B08"/>
    <w:rsid w:val="00B03D87"/>
    <w:rsid w:val="00B040B2"/>
    <w:rsid w:val="00B043E9"/>
    <w:rsid w:val="00B0471F"/>
    <w:rsid w:val="00B04BD3"/>
    <w:rsid w:val="00B04D49"/>
    <w:rsid w:val="00B0524A"/>
    <w:rsid w:val="00B05369"/>
    <w:rsid w:val="00B05477"/>
    <w:rsid w:val="00B055DC"/>
    <w:rsid w:val="00B05746"/>
    <w:rsid w:val="00B05931"/>
    <w:rsid w:val="00B05C4B"/>
    <w:rsid w:val="00B05C5E"/>
    <w:rsid w:val="00B06248"/>
    <w:rsid w:val="00B0647F"/>
    <w:rsid w:val="00B064BA"/>
    <w:rsid w:val="00B0688B"/>
    <w:rsid w:val="00B069DA"/>
    <w:rsid w:val="00B07050"/>
    <w:rsid w:val="00B07113"/>
    <w:rsid w:val="00B07149"/>
    <w:rsid w:val="00B07585"/>
    <w:rsid w:val="00B07704"/>
    <w:rsid w:val="00B07EFB"/>
    <w:rsid w:val="00B10558"/>
    <w:rsid w:val="00B1109C"/>
    <w:rsid w:val="00B11500"/>
    <w:rsid w:val="00B11EE8"/>
    <w:rsid w:val="00B11FFB"/>
    <w:rsid w:val="00B12017"/>
    <w:rsid w:val="00B126FC"/>
    <w:rsid w:val="00B12FCC"/>
    <w:rsid w:val="00B13FDF"/>
    <w:rsid w:val="00B14802"/>
    <w:rsid w:val="00B14860"/>
    <w:rsid w:val="00B14C64"/>
    <w:rsid w:val="00B14D92"/>
    <w:rsid w:val="00B156A9"/>
    <w:rsid w:val="00B15AF9"/>
    <w:rsid w:val="00B15E4E"/>
    <w:rsid w:val="00B15EA3"/>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AF4"/>
    <w:rsid w:val="00B23C15"/>
    <w:rsid w:val="00B23C47"/>
    <w:rsid w:val="00B24737"/>
    <w:rsid w:val="00B24F0F"/>
    <w:rsid w:val="00B25624"/>
    <w:rsid w:val="00B25762"/>
    <w:rsid w:val="00B25B40"/>
    <w:rsid w:val="00B25B5A"/>
    <w:rsid w:val="00B25FDE"/>
    <w:rsid w:val="00B26034"/>
    <w:rsid w:val="00B2621F"/>
    <w:rsid w:val="00B26551"/>
    <w:rsid w:val="00B26A06"/>
    <w:rsid w:val="00B26AB0"/>
    <w:rsid w:val="00B26AD2"/>
    <w:rsid w:val="00B26CA2"/>
    <w:rsid w:val="00B26F4F"/>
    <w:rsid w:val="00B2700A"/>
    <w:rsid w:val="00B2727C"/>
    <w:rsid w:val="00B274BC"/>
    <w:rsid w:val="00B27B44"/>
    <w:rsid w:val="00B302C5"/>
    <w:rsid w:val="00B30302"/>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E96"/>
    <w:rsid w:val="00B4655C"/>
    <w:rsid w:val="00B46A38"/>
    <w:rsid w:val="00B46CBC"/>
    <w:rsid w:val="00B47235"/>
    <w:rsid w:val="00B47DA6"/>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71F"/>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D7A"/>
    <w:rsid w:val="00B62E0B"/>
    <w:rsid w:val="00B633EF"/>
    <w:rsid w:val="00B63A44"/>
    <w:rsid w:val="00B63C32"/>
    <w:rsid w:val="00B6422E"/>
    <w:rsid w:val="00B64424"/>
    <w:rsid w:val="00B64434"/>
    <w:rsid w:val="00B64436"/>
    <w:rsid w:val="00B64956"/>
    <w:rsid w:val="00B650B9"/>
    <w:rsid w:val="00B655E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589"/>
    <w:rsid w:val="00B725C2"/>
    <w:rsid w:val="00B72660"/>
    <w:rsid w:val="00B72E8A"/>
    <w:rsid w:val="00B73671"/>
    <w:rsid w:val="00B7408D"/>
    <w:rsid w:val="00B74163"/>
    <w:rsid w:val="00B74663"/>
    <w:rsid w:val="00B746C6"/>
    <w:rsid w:val="00B7487E"/>
    <w:rsid w:val="00B7522F"/>
    <w:rsid w:val="00B7537B"/>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615"/>
    <w:rsid w:val="00B82AC3"/>
    <w:rsid w:val="00B833D7"/>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BB"/>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5FA8"/>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1CC9"/>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233"/>
    <w:rsid w:val="00BB335C"/>
    <w:rsid w:val="00BB3A0F"/>
    <w:rsid w:val="00BB3F30"/>
    <w:rsid w:val="00BB46DC"/>
    <w:rsid w:val="00BB4D92"/>
    <w:rsid w:val="00BB4FE3"/>
    <w:rsid w:val="00BB531B"/>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57"/>
    <w:rsid w:val="00BC398E"/>
    <w:rsid w:val="00BC39DB"/>
    <w:rsid w:val="00BC3A32"/>
    <w:rsid w:val="00BC4020"/>
    <w:rsid w:val="00BC4084"/>
    <w:rsid w:val="00BC410E"/>
    <w:rsid w:val="00BC46EF"/>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E44"/>
    <w:rsid w:val="00BE2F35"/>
    <w:rsid w:val="00BE2F39"/>
    <w:rsid w:val="00BE332D"/>
    <w:rsid w:val="00BE3814"/>
    <w:rsid w:val="00BE3AF0"/>
    <w:rsid w:val="00BE3CF1"/>
    <w:rsid w:val="00BE3ECB"/>
    <w:rsid w:val="00BE400E"/>
    <w:rsid w:val="00BE419C"/>
    <w:rsid w:val="00BE4798"/>
    <w:rsid w:val="00BE4B20"/>
    <w:rsid w:val="00BE4DE1"/>
    <w:rsid w:val="00BE5077"/>
    <w:rsid w:val="00BE51E1"/>
    <w:rsid w:val="00BE5773"/>
    <w:rsid w:val="00BE59BE"/>
    <w:rsid w:val="00BE5FC4"/>
    <w:rsid w:val="00BE61C8"/>
    <w:rsid w:val="00BE6586"/>
    <w:rsid w:val="00BE6C0A"/>
    <w:rsid w:val="00BE6CF2"/>
    <w:rsid w:val="00BE76DD"/>
    <w:rsid w:val="00BE79FB"/>
    <w:rsid w:val="00BE7C4D"/>
    <w:rsid w:val="00BE7F6A"/>
    <w:rsid w:val="00BF0274"/>
    <w:rsid w:val="00BF03A6"/>
    <w:rsid w:val="00BF08C4"/>
    <w:rsid w:val="00BF0BAF"/>
    <w:rsid w:val="00BF0C4E"/>
    <w:rsid w:val="00BF0F9D"/>
    <w:rsid w:val="00BF1116"/>
    <w:rsid w:val="00BF1356"/>
    <w:rsid w:val="00BF19CE"/>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285"/>
    <w:rsid w:val="00BF532A"/>
    <w:rsid w:val="00BF5552"/>
    <w:rsid w:val="00BF5EAE"/>
    <w:rsid w:val="00BF60E2"/>
    <w:rsid w:val="00BF616A"/>
    <w:rsid w:val="00BF66A8"/>
    <w:rsid w:val="00BF6932"/>
    <w:rsid w:val="00BF71A0"/>
    <w:rsid w:val="00BF7243"/>
    <w:rsid w:val="00BF7395"/>
    <w:rsid w:val="00BF73F2"/>
    <w:rsid w:val="00C0076C"/>
    <w:rsid w:val="00C009CB"/>
    <w:rsid w:val="00C01671"/>
    <w:rsid w:val="00C01F5A"/>
    <w:rsid w:val="00C02419"/>
    <w:rsid w:val="00C02554"/>
    <w:rsid w:val="00C02766"/>
    <w:rsid w:val="00C0380D"/>
    <w:rsid w:val="00C038BA"/>
    <w:rsid w:val="00C03CA8"/>
    <w:rsid w:val="00C03EE8"/>
    <w:rsid w:val="00C04205"/>
    <w:rsid w:val="00C04513"/>
    <w:rsid w:val="00C04839"/>
    <w:rsid w:val="00C04873"/>
    <w:rsid w:val="00C05041"/>
    <w:rsid w:val="00C055E8"/>
    <w:rsid w:val="00C0574C"/>
    <w:rsid w:val="00C05815"/>
    <w:rsid w:val="00C05BEC"/>
    <w:rsid w:val="00C05C54"/>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A26"/>
    <w:rsid w:val="00C169AF"/>
    <w:rsid w:val="00C16C30"/>
    <w:rsid w:val="00C16E7C"/>
    <w:rsid w:val="00C172C6"/>
    <w:rsid w:val="00C174B6"/>
    <w:rsid w:val="00C1778E"/>
    <w:rsid w:val="00C17B66"/>
    <w:rsid w:val="00C17BED"/>
    <w:rsid w:val="00C17DB4"/>
    <w:rsid w:val="00C203D5"/>
    <w:rsid w:val="00C20A00"/>
    <w:rsid w:val="00C20BA3"/>
    <w:rsid w:val="00C210AB"/>
    <w:rsid w:val="00C21179"/>
    <w:rsid w:val="00C21673"/>
    <w:rsid w:val="00C216C8"/>
    <w:rsid w:val="00C21938"/>
    <w:rsid w:val="00C21C7A"/>
    <w:rsid w:val="00C21E07"/>
    <w:rsid w:val="00C2208E"/>
    <w:rsid w:val="00C22507"/>
    <w:rsid w:val="00C22859"/>
    <w:rsid w:val="00C23130"/>
    <w:rsid w:val="00C2330E"/>
    <w:rsid w:val="00C23963"/>
    <w:rsid w:val="00C23D56"/>
    <w:rsid w:val="00C23D9E"/>
    <w:rsid w:val="00C24200"/>
    <w:rsid w:val="00C242A8"/>
    <w:rsid w:val="00C243F3"/>
    <w:rsid w:val="00C24E78"/>
    <w:rsid w:val="00C25503"/>
    <w:rsid w:val="00C255A5"/>
    <w:rsid w:val="00C2584B"/>
    <w:rsid w:val="00C25942"/>
    <w:rsid w:val="00C25DD9"/>
    <w:rsid w:val="00C26444"/>
    <w:rsid w:val="00C2663F"/>
    <w:rsid w:val="00C266BA"/>
    <w:rsid w:val="00C2694C"/>
    <w:rsid w:val="00C269B9"/>
    <w:rsid w:val="00C26DB8"/>
    <w:rsid w:val="00C26E1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1C6"/>
    <w:rsid w:val="00C40373"/>
    <w:rsid w:val="00C40682"/>
    <w:rsid w:val="00C4072F"/>
    <w:rsid w:val="00C4082D"/>
    <w:rsid w:val="00C40AE6"/>
    <w:rsid w:val="00C40CBC"/>
    <w:rsid w:val="00C40D8A"/>
    <w:rsid w:val="00C40F93"/>
    <w:rsid w:val="00C40FFA"/>
    <w:rsid w:val="00C4101B"/>
    <w:rsid w:val="00C411AF"/>
    <w:rsid w:val="00C4138D"/>
    <w:rsid w:val="00C416CB"/>
    <w:rsid w:val="00C4179A"/>
    <w:rsid w:val="00C41E3A"/>
    <w:rsid w:val="00C42031"/>
    <w:rsid w:val="00C423FF"/>
    <w:rsid w:val="00C4270E"/>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DF9"/>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63F5"/>
    <w:rsid w:val="00C566AF"/>
    <w:rsid w:val="00C56D58"/>
    <w:rsid w:val="00C570F7"/>
    <w:rsid w:val="00C5796D"/>
    <w:rsid w:val="00C57BC9"/>
    <w:rsid w:val="00C57CB2"/>
    <w:rsid w:val="00C57D8E"/>
    <w:rsid w:val="00C57F54"/>
    <w:rsid w:val="00C60B3C"/>
    <w:rsid w:val="00C60C69"/>
    <w:rsid w:val="00C60D26"/>
    <w:rsid w:val="00C60E3E"/>
    <w:rsid w:val="00C61032"/>
    <w:rsid w:val="00C622FE"/>
    <w:rsid w:val="00C62578"/>
    <w:rsid w:val="00C626DF"/>
    <w:rsid w:val="00C62CD5"/>
    <w:rsid w:val="00C62F50"/>
    <w:rsid w:val="00C6306D"/>
    <w:rsid w:val="00C6323D"/>
    <w:rsid w:val="00C636E6"/>
    <w:rsid w:val="00C63924"/>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6CBE"/>
    <w:rsid w:val="00C671FC"/>
    <w:rsid w:val="00C67357"/>
    <w:rsid w:val="00C677C2"/>
    <w:rsid w:val="00C67822"/>
    <w:rsid w:val="00C6785D"/>
    <w:rsid w:val="00C67D63"/>
    <w:rsid w:val="00C67EAB"/>
    <w:rsid w:val="00C70342"/>
    <w:rsid w:val="00C70584"/>
    <w:rsid w:val="00C70DFF"/>
    <w:rsid w:val="00C714A5"/>
    <w:rsid w:val="00C719DD"/>
    <w:rsid w:val="00C71F93"/>
    <w:rsid w:val="00C723DC"/>
    <w:rsid w:val="00C729AA"/>
    <w:rsid w:val="00C72A52"/>
    <w:rsid w:val="00C72F91"/>
    <w:rsid w:val="00C7324F"/>
    <w:rsid w:val="00C733B0"/>
    <w:rsid w:val="00C735D1"/>
    <w:rsid w:val="00C7364D"/>
    <w:rsid w:val="00C736F7"/>
    <w:rsid w:val="00C74A5A"/>
    <w:rsid w:val="00C74D8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80073"/>
    <w:rsid w:val="00C802B4"/>
    <w:rsid w:val="00C807ED"/>
    <w:rsid w:val="00C80C69"/>
    <w:rsid w:val="00C80DEA"/>
    <w:rsid w:val="00C8103F"/>
    <w:rsid w:val="00C8143F"/>
    <w:rsid w:val="00C8169A"/>
    <w:rsid w:val="00C81C85"/>
    <w:rsid w:val="00C82CE5"/>
    <w:rsid w:val="00C832DC"/>
    <w:rsid w:val="00C834A8"/>
    <w:rsid w:val="00C8377F"/>
    <w:rsid w:val="00C83874"/>
    <w:rsid w:val="00C83968"/>
    <w:rsid w:val="00C83B69"/>
    <w:rsid w:val="00C8402B"/>
    <w:rsid w:val="00C849BC"/>
    <w:rsid w:val="00C84B58"/>
    <w:rsid w:val="00C84D02"/>
    <w:rsid w:val="00C84E9E"/>
    <w:rsid w:val="00C85229"/>
    <w:rsid w:val="00C85DC2"/>
    <w:rsid w:val="00C8646D"/>
    <w:rsid w:val="00C8651B"/>
    <w:rsid w:val="00C868D2"/>
    <w:rsid w:val="00C86FAE"/>
    <w:rsid w:val="00C8705D"/>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505A"/>
    <w:rsid w:val="00CA5449"/>
    <w:rsid w:val="00CA5479"/>
    <w:rsid w:val="00CA59DD"/>
    <w:rsid w:val="00CA6FA3"/>
    <w:rsid w:val="00CA6FAC"/>
    <w:rsid w:val="00CA711A"/>
    <w:rsid w:val="00CA738A"/>
    <w:rsid w:val="00CA7680"/>
    <w:rsid w:val="00CA77AF"/>
    <w:rsid w:val="00CB008E"/>
    <w:rsid w:val="00CB0138"/>
    <w:rsid w:val="00CB01FA"/>
    <w:rsid w:val="00CB0737"/>
    <w:rsid w:val="00CB097A"/>
    <w:rsid w:val="00CB0A3A"/>
    <w:rsid w:val="00CB10F6"/>
    <w:rsid w:val="00CB1C37"/>
    <w:rsid w:val="00CB1E1D"/>
    <w:rsid w:val="00CB1EF1"/>
    <w:rsid w:val="00CB21F0"/>
    <w:rsid w:val="00CB22B2"/>
    <w:rsid w:val="00CB22BD"/>
    <w:rsid w:val="00CB23BB"/>
    <w:rsid w:val="00CB26EC"/>
    <w:rsid w:val="00CB29EF"/>
    <w:rsid w:val="00CB2D2A"/>
    <w:rsid w:val="00CB2E6B"/>
    <w:rsid w:val="00CB2FFA"/>
    <w:rsid w:val="00CB348C"/>
    <w:rsid w:val="00CB39A5"/>
    <w:rsid w:val="00CB3ED9"/>
    <w:rsid w:val="00CB4695"/>
    <w:rsid w:val="00CB4729"/>
    <w:rsid w:val="00CB4A33"/>
    <w:rsid w:val="00CB4B3E"/>
    <w:rsid w:val="00CB51F5"/>
    <w:rsid w:val="00CB5310"/>
    <w:rsid w:val="00CB56FA"/>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C0439"/>
    <w:rsid w:val="00CC09CB"/>
    <w:rsid w:val="00CC0B8A"/>
    <w:rsid w:val="00CC0BAE"/>
    <w:rsid w:val="00CC0C4A"/>
    <w:rsid w:val="00CC131D"/>
    <w:rsid w:val="00CC17F0"/>
    <w:rsid w:val="00CC1853"/>
    <w:rsid w:val="00CC1A34"/>
    <w:rsid w:val="00CC1E20"/>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1F5B"/>
    <w:rsid w:val="00CD2225"/>
    <w:rsid w:val="00CD2396"/>
    <w:rsid w:val="00CD239A"/>
    <w:rsid w:val="00CD34C5"/>
    <w:rsid w:val="00CD3508"/>
    <w:rsid w:val="00CD3548"/>
    <w:rsid w:val="00CD368D"/>
    <w:rsid w:val="00CD3AE3"/>
    <w:rsid w:val="00CD3F17"/>
    <w:rsid w:val="00CD43D0"/>
    <w:rsid w:val="00CD441B"/>
    <w:rsid w:val="00CD442B"/>
    <w:rsid w:val="00CD4A58"/>
    <w:rsid w:val="00CD4DF0"/>
    <w:rsid w:val="00CD5512"/>
    <w:rsid w:val="00CD6A28"/>
    <w:rsid w:val="00CD6E3D"/>
    <w:rsid w:val="00CD71AB"/>
    <w:rsid w:val="00CD746A"/>
    <w:rsid w:val="00CD77F2"/>
    <w:rsid w:val="00CE0109"/>
    <w:rsid w:val="00CE0A18"/>
    <w:rsid w:val="00CE1377"/>
    <w:rsid w:val="00CE198D"/>
    <w:rsid w:val="00CE1A12"/>
    <w:rsid w:val="00CE1CCB"/>
    <w:rsid w:val="00CE1DF4"/>
    <w:rsid w:val="00CE1F89"/>
    <w:rsid w:val="00CE1FC5"/>
    <w:rsid w:val="00CE209C"/>
    <w:rsid w:val="00CE2584"/>
    <w:rsid w:val="00CE27A4"/>
    <w:rsid w:val="00CE329A"/>
    <w:rsid w:val="00CE331F"/>
    <w:rsid w:val="00CE364C"/>
    <w:rsid w:val="00CE3FEB"/>
    <w:rsid w:val="00CE40CF"/>
    <w:rsid w:val="00CE413C"/>
    <w:rsid w:val="00CE46E5"/>
    <w:rsid w:val="00CE485A"/>
    <w:rsid w:val="00CE4E26"/>
    <w:rsid w:val="00CE5125"/>
    <w:rsid w:val="00CE526C"/>
    <w:rsid w:val="00CE5279"/>
    <w:rsid w:val="00CE52CE"/>
    <w:rsid w:val="00CE53AB"/>
    <w:rsid w:val="00CE5524"/>
    <w:rsid w:val="00CE5A78"/>
    <w:rsid w:val="00CE5C59"/>
    <w:rsid w:val="00CE5E75"/>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11E3"/>
    <w:rsid w:val="00CF155A"/>
    <w:rsid w:val="00CF166B"/>
    <w:rsid w:val="00CF19DA"/>
    <w:rsid w:val="00CF1B19"/>
    <w:rsid w:val="00CF1C7F"/>
    <w:rsid w:val="00CF1CC0"/>
    <w:rsid w:val="00CF1D7F"/>
    <w:rsid w:val="00CF1E7A"/>
    <w:rsid w:val="00CF1F28"/>
    <w:rsid w:val="00CF2234"/>
    <w:rsid w:val="00CF24F8"/>
    <w:rsid w:val="00CF2653"/>
    <w:rsid w:val="00CF2C85"/>
    <w:rsid w:val="00CF313D"/>
    <w:rsid w:val="00CF353B"/>
    <w:rsid w:val="00CF3789"/>
    <w:rsid w:val="00CF3B1E"/>
    <w:rsid w:val="00CF3F0E"/>
    <w:rsid w:val="00CF4247"/>
    <w:rsid w:val="00CF44CE"/>
    <w:rsid w:val="00CF4AA6"/>
    <w:rsid w:val="00CF5263"/>
    <w:rsid w:val="00CF60B5"/>
    <w:rsid w:val="00CF6265"/>
    <w:rsid w:val="00CF6C71"/>
    <w:rsid w:val="00CF7076"/>
    <w:rsid w:val="00CF7571"/>
    <w:rsid w:val="00CF774C"/>
    <w:rsid w:val="00CF7BEB"/>
    <w:rsid w:val="00D004FA"/>
    <w:rsid w:val="00D00636"/>
    <w:rsid w:val="00D0071A"/>
    <w:rsid w:val="00D00A57"/>
    <w:rsid w:val="00D00EC9"/>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54B"/>
    <w:rsid w:val="00D04848"/>
    <w:rsid w:val="00D04A40"/>
    <w:rsid w:val="00D05039"/>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8B5"/>
    <w:rsid w:val="00D34A0B"/>
    <w:rsid w:val="00D34E95"/>
    <w:rsid w:val="00D35513"/>
    <w:rsid w:val="00D35672"/>
    <w:rsid w:val="00D36234"/>
    <w:rsid w:val="00D36371"/>
    <w:rsid w:val="00D36A61"/>
    <w:rsid w:val="00D37246"/>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87F"/>
    <w:rsid w:val="00D46B05"/>
    <w:rsid w:val="00D4725A"/>
    <w:rsid w:val="00D47627"/>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97E"/>
    <w:rsid w:val="00D53E69"/>
    <w:rsid w:val="00D5416A"/>
    <w:rsid w:val="00D54202"/>
    <w:rsid w:val="00D54255"/>
    <w:rsid w:val="00D548F1"/>
    <w:rsid w:val="00D54DA1"/>
    <w:rsid w:val="00D54F0E"/>
    <w:rsid w:val="00D54F9F"/>
    <w:rsid w:val="00D55072"/>
    <w:rsid w:val="00D551B5"/>
    <w:rsid w:val="00D55AAC"/>
    <w:rsid w:val="00D563AE"/>
    <w:rsid w:val="00D56DB2"/>
    <w:rsid w:val="00D56DDB"/>
    <w:rsid w:val="00D571E4"/>
    <w:rsid w:val="00D5747F"/>
    <w:rsid w:val="00D57495"/>
    <w:rsid w:val="00D574FA"/>
    <w:rsid w:val="00D5785E"/>
    <w:rsid w:val="00D57DCA"/>
    <w:rsid w:val="00D60463"/>
    <w:rsid w:val="00D60C8D"/>
    <w:rsid w:val="00D60F60"/>
    <w:rsid w:val="00D61018"/>
    <w:rsid w:val="00D61341"/>
    <w:rsid w:val="00D61374"/>
    <w:rsid w:val="00D6168A"/>
    <w:rsid w:val="00D616A5"/>
    <w:rsid w:val="00D61EAF"/>
    <w:rsid w:val="00D61FF0"/>
    <w:rsid w:val="00D6211D"/>
    <w:rsid w:val="00D626CD"/>
    <w:rsid w:val="00D62C97"/>
    <w:rsid w:val="00D62DF0"/>
    <w:rsid w:val="00D63517"/>
    <w:rsid w:val="00D636D1"/>
    <w:rsid w:val="00D637CA"/>
    <w:rsid w:val="00D63825"/>
    <w:rsid w:val="00D638B9"/>
    <w:rsid w:val="00D63B75"/>
    <w:rsid w:val="00D647CC"/>
    <w:rsid w:val="00D64954"/>
    <w:rsid w:val="00D65527"/>
    <w:rsid w:val="00D6555C"/>
    <w:rsid w:val="00D658EF"/>
    <w:rsid w:val="00D659B1"/>
    <w:rsid w:val="00D65D9C"/>
    <w:rsid w:val="00D65EAA"/>
    <w:rsid w:val="00D66212"/>
    <w:rsid w:val="00D6622B"/>
    <w:rsid w:val="00D662AA"/>
    <w:rsid w:val="00D6636B"/>
    <w:rsid w:val="00D66413"/>
    <w:rsid w:val="00D66608"/>
    <w:rsid w:val="00D66634"/>
    <w:rsid w:val="00D66B5C"/>
    <w:rsid w:val="00D66CF6"/>
    <w:rsid w:val="00D66D59"/>
    <w:rsid w:val="00D66E18"/>
    <w:rsid w:val="00D6734D"/>
    <w:rsid w:val="00D679CF"/>
    <w:rsid w:val="00D679D3"/>
    <w:rsid w:val="00D67FF8"/>
    <w:rsid w:val="00D7010B"/>
    <w:rsid w:val="00D702EA"/>
    <w:rsid w:val="00D7037A"/>
    <w:rsid w:val="00D703F5"/>
    <w:rsid w:val="00D70640"/>
    <w:rsid w:val="00D709C0"/>
    <w:rsid w:val="00D70E3C"/>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E1D"/>
    <w:rsid w:val="00D751FB"/>
    <w:rsid w:val="00D754D6"/>
    <w:rsid w:val="00D755EB"/>
    <w:rsid w:val="00D761AA"/>
    <w:rsid w:val="00D76C5E"/>
    <w:rsid w:val="00D76D18"/>
    <w:rsid w:val="00D76ED6"/>
    <w:rsid w:val="00D76FA8"/>
    <w:rsid w:val="00D76FAE"/>
    <w:rsid w:val="00D77372"/>
    <w:rsid w:val="00D777D7"/>
    <w:rsid w:val="00D77885"/>
    <w:rsid w:val="00D77A2C"/>
    <w:rsid w:val="00D77DCE"/>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C45"/>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5034"/>
    <w:rsid w:val="00D95104"/>
    <w:rsid w:val="00D952D7"/>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708"/>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CAF"/>
    <w:rsid w:val="00DA5CCF"/>
    <w:rsid w:val="00DA6114"/>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8F8"/>
    <w:rsid w:val="00DB19F8"/>
    <w:rsid w:val="00DB1BD5"/>
    <w:rsid w:val="00DB1F08"/>
    <w:rsid w:val="00DB1F2A"/>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4EB4"/>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B0C"/>
    <w:rsid w:val="00DD1C48"/>
    <w:rsid w:val="00DD2025"/>
    <w:rsid w:val="00DD22EA"/>
    <w:rsid w:val="00DD23A0"/>
    <w:rsid w:val="00DD2429"/>
    <w:rsid w:val="00DD253B"/>
    <w:rsid w:val="00DD2978"/>
    <w:rsid w:val="00DD2A00"/>
    <w:rsid w:val="00DD2A70"/>
    <w:rsid w:val="00DD2F2B"/>
    <w:rsid w:val="00DD2F43"/>
    <w:rsid w:val="00DD382D"/>
    <w:rsid w:val="00DD384F"/>
    <w:rsid w:val="00DD3C04"/>
    <w:rsid w:val="00DD3C3A"/>
    <w:rsid w:val="00DD3C43"/>
    <w:rsid w:val="00DD3EF5"/>
    <w:rsid w:val="00DD482D"/>
    <w:rsid w:val="00DD500A"/>
    <w:rsid w:val="00DD519C"/>
    <w:rsid w:val="00DD53FA"/>
    <w:rsid w:val="00DD5C88"/>
    <w:rsid w:val="00DD5F42"/>
    <w:rsid w:val="00DD5FCA"/>
    <w:rsid w:val="00DD617B"/>
    <w:rsid w:val="00DD6A37"/>
    <w:rsid w:val="00DD70EC"/>
    <w:rsid w:val="00DD7261"/>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C02"/>
    <w:rsid w:val="00DE52E3"/>
    <w:rsid w:val="00DE5343"/>
    <w:rsid w:val="00DE68E1"/>
    <w:rsid w:val="00DE6A3B"/>
    <w:rsid w:val="00DE6CBC"/>
    <w:rsid w:val="00DE70EA"/>
    <w:rsid w:val="00DE7C00"/>
    <w:rsid w:val="00DF029A"/>
    <w:rsid w:val="00DF03E9"/>
    <w:rsid w:val="00DF03ED"/>
    <w:rsid w:val="00DF04EE"/>
    <w:rsid w:val="00DF0BF4"/>
    <w:rsid w:val="00DF0C3D"/>
    <w:rsid w:val="00DF0C51"/>
    <w:rsid w:val="00DF179D"/>
    <w:rsid w:val="00DF1BBB"/>
    <w:rsid w:val="00DF1E9C"/>
    <w:rsid w:val="00DF2192"/>
    <w:rsid w:val="00DF2868"/>
    <w:rsid w:val="00DF4455"/>
    <w:rsid w:val="00DF4572"/>
    <w:rsid w:val="00DF4640"/>
    <w:rsid w:val="00DF4658"/>
    <w:rsid w:val="00DF4785"/>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B91"/>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82"/>
    <w:rsid w:val="00E075C8"/>
    <w:rsid w:val="00E07877"/>
    <w:rsid w:val="00E07C85"/>
    <w:rsid w:val="00E07EA3"/>
    <w:rsid w:val="00E07F4D"/>
    <w:rsid w:val="00E10317"/>
    <w:rsid w:val="00E11654"/>
    <w:rsid w:val="00E12CBA"/>
    <w:rsid w:val="00E137FE"/>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9A0"/>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2F3"/>
    <w:rsid w:val="00E273CB"/>
    <w:rsid w:val="00E2745B"/>
    <w:rsid w:val="00E27BE7"/>
    <w:rsid w:val="00E27F60"/>
    <w:rsid w:val="00E30022"/>
    <w:rsid w:val="00E30719"/>
    <w:rsid w:val="00E30EBD"/>
    <w:rsid w:val="00E3115F"/>
    <w:rsid w:val="00E312E8"/>
    <w:rsid w:val="00E3138F"/>
    <w:rsid w:val="00E31491"/>
    <w:rsid w:val="00E31D1C"/>
    <w:rsid w:val="00E31FB9"/>
    <w:rsid w:val="00E32274"/>
    <w:rsid w:val="00E32617"/>
    <w:rsid w:val="00E3271D"/>
    <w:rsid w:val="00E32D62"/>
    <w:rsid w:val="00E339DC"/>
    <w:rsid w:val="00E33A5E"/>
    <w:rsid w:val="00E33DDF"/>
    <w:rsid w:val="00E33E15"/>
    <w:rsid w:val="00E340B5"/>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1EF1"/>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91A"/>
    <w:rsid w:val="00E53941"/>
    <w:rsid w:val="00E53AC6"/>
    <w:rsid w:val="00E53B58"/>
    <w:rsid w:val="00E53CAC"/>
    <w:rsid w:val="00E53FA9"/>
    <w:rsid w:val="00E5414C"/>
    <w:rsid w:val="00E547B3"/>
    <w:rsid w:val="00E54B68"/>
    <w:rsid w:val="00E54C33"/>
    <w:rsid w:val="00E5577C"/>
    <w:rsid w:val="00E559A0"/>
    <w:rsid w:val="00E55A4B"/>
    <w:rsid w:val="00E55D26"/>
    <w:rsid w:val="00E5604D"/>
    <w:rsid w:val="00E564E4"/>
    <w:rsid w:val="00E5680D"/>
    <w:rsid w:val="00E56DD6"/>
    <w:rsid w:val="00E5733D"/>
    <w:rsid w:val="00E579CE"/>
    <w:rsid w:val="00E57AFC"/>
    <w:rsid w:val="00E57CF6"/>
    <w:rsid w:val="00E60103"/>
    <w:rsid w:val="00E60534"/>
    <w:rsid w:val="00E60816"/>
    <w:rsid w:val="00E60961"/>
    <w:rsid w:val="00E60DC5"/>
    <w:rsid w:val="00E60F30"/>
    <w:rsid w:val="00E6148D"/>
    <w:rsid w:val="00E615E4"/>
    <w:rsid w:val="00E61778"/>
    <w:rsid w:val="00E619AF"/>
    <w:rsid w:val="00E61A34"/>
    <w:rsid w:val="00E61A85"/>
    <w:rsid w:val="00E61CC0"/>
    <w:rsid w:val="00E62217"/>
    <w:rsid w:val="00E6277B"/>
    <w:rsid w:val="00E62929"/>
    <w:rsid w:val="00E63309"/>
    <w:rsid w:val="00E63794"/>
    <w:rsid w:val="00E63B36"/>
    <w:rsid w:val="00E63B42"/>
    <w:rsid w:val="00E63F21"/>
    <w:rsid w:val="00E63FCC"/>
    <w:rsid w:val="00E64424"/>
    <w:rsid w:val="00E6484D"/>
    <w:rsid w:val="00E64BA2"/>
    <w:rsid w:val="00E64C8C"/>
    <w:rsid w:val="00E64C99"/>
    <w:rsid w:val="00E64CD3"/>
    <w:rsid w:val="00E652E2"/>
    <w:rsid w:val="00E65512"/>
    <w:rsid w:val="00E65523"/>
    <w:rsid w:val="00E659A0"/>
    <w:rsid w:val="00E65DEE"/>
    <w:rsid w:val="00E6646D"/>
    <w:rsid w:val="00E66CE4"/>
    <w:rsid w:val="00E66FD6"/>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80514"/>
    <w:rsid w:val="00E80A4B"/>
    <w:rsid w:val="00E80E5B"/>
    <w:rsid w:val="00E816C5"/>
    <w:rsid w:val="00E81837"/>
    <w:rsid w:val="00E81CE0"/>
    <w:rsid w:val="00E81E33"/>
    <w:rsid w:val="00E81E7C"/>
    <w:rsid w:val="00E82077"/>
    <w:rsid w:val="00E8224D"/>
    <w:rsid w:val="00E82325"/>
    <w:rsid w:val="00E83032"/>
    <w:rsid w:val="00E833A7"/>
    <w:rsid w:val="00E834B1"/>
    <w:rsid w:val="00E83752"/>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3043"/>
    <w:rsid w:val="00E93C5B"/>
    <w:rsid w:val="00E93E44"/>
    <w:rsid w:val="00E9431E"/>
    <w:rsid w:val="00E94557"/>
    <w:rsid w:val="00E947A6"/>
    <w:rsid w:val="00E9497A"/>
    <w:rsid w:val="00E94BFA"/>
    <w:rsid w:val="00E951F8"/>
    <w:rsid w:val="00E9521D"/>
    <w:rsid w:val="00E957E3"/>
    <w:rsid w:val="00E959C0"/>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25C"/>
    <w:rsid w:val="00EA65AD"/>
    <w:rsid w:val="00EA6672"/>
    <w:rsid w:val="00EA6744"/>
    <w:rsid w:val="00EA6A48"/>
    <w:rsid w:val="00EA6A9D"/>
    <w:rsid w:val="00EA6E19"/>
    <w:rsid w:val="00EA73FC"/>
    <w:rsid w:val="00EA7500"/>
    <w:rsid w:val="00EA7C37"/>
    <w:rsid w:val="00EA7E86"/>
    <w:rsid w:val="00EA7FCF"/>
    <w:rsid w:val="00EB0877"/>
    <w:rsid w:val="00EB0CA3"/>
    <w:rsid w:val="00EB104F"/>
    <w:rsid w:val="00EB1287"/>
    <w:rsid w:val="00EB1850"/>
    <w:rsid w:val="00EB1883"/>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DD"/>
    <w:rsid w:val="00EC00F6"/>
    <w:rsid w:val="00EC100B"/>
    <w:rsid w:val="00EC12A2"/>
    <w:rsid w:val="00EC1837"/>
    <w:rsid w:val="00EC206D"/>
    <w:rsid w:val="00EC2501"/>
    <w:rsid w:val="00EC2D80"/>
    <w:rsid w:val="00EC2E2D"/>
    <w:rsid w:val="00EC34C3"/>
    <w:rsid w:val="00EC3B64"/>
    <w:rsid w:val="00EC462B"/>
    <w:rsid w:val="00EC4723"/>
    <w:rsid w:val="00EC4830"/>
    <w:rsid w:val="00EC4FFC"/>
    <w:rsid w:val="00EC5636"/>
    <w:rsid w:val="00EC568D"/>
    <w:rsid w:val="00EC56E0"/>
    <w:rsid w:val="00EC5F13"/>
    <w:rsid w:val="00EC6057"/>
    <w:rsid w:val="00EC63FE"/>
    <w:rsid w:val="00EC64BA"/>
    <w:rsid w:val="00EC6577"/>
    <w:rsid w:val="00EC6847"/>
    <w:rsid w:val="00EC6E11"/>
    <w:rsid w:val="00EC716D"/>
    <w:rsid w:val="00EC7401"/>
    <w:rsid w:val="00EC7455"/>
    <w:rsid w:val="00EC7508"/>
    <w:rsid w:val="00EC7DB6"/>
    <w:rsid w:val="00ED0435"/>
    <w:rsid w:val="00ED0D5D"/>
    <w:rsid w:val="00ED1596"/>
    <w:rsid w:val="00ED162F"/>
    <w:rsid w:val="00ED193A"/>
    <w:rsid w:val="00ED1A46"/>
    <w:rsid w:val="00ED251F"/>
    <w:rsid w:val="00ED2E52"/>
    <w:rsid w:val="00ED2EEE"/>
    <w:rsid w:val="00ED2F7B"/>
    <w:rsid w:val="00ED2F95"/>
    <w:rsid w:val="00ED3024"/>
    <w:rsid w:val="00ED3666"/>
    <w:rsid w:val="00ED3E70"/>
    <w:rsid w:val="00ED3F7B"/>
    <w:rsid w:val="00ED445A"/>
    <w:rsid w:val="00ED45C2"/>
    <w:rsid w:val="00ED45FA"/>
    <w:rsid w:val="00ED46A8"/>
    <w:rsid w:val="00ED482B"/>
    <w:rsid w:val="00ED4FAC"/>
    <w:rsid w:val="00ED57AA"/>
    <w:rsid w:val="00ED5C55"/>
    <w:rsid w:val="00ED5FE4"/>
    <w:rsid w:val="00ED6CFA"/>
    <w:rsid w:val="00ED6FF5"/>
    <w:rsid w:val="00ED7164"/>
    <w:rsid w:val="00ED71C5"/>
    <w:rsid w:val="00ED7411"/>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625"/>
    <w:rsid w:val="00EF0DB6"/>
    <w:rsid w:val="00EF0E00"/>
    <w:rsid w:val="00EF0EEB"/>
    <w:rsid w:val="00EF0FE4"/>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0E88"/>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AC8"/>
    <w:rsid w:val="00F10E29"/>
    <w:rsid w:val="00F10F18"/>
    <w:rsid w:val="00F10FC1"/>
    <w:rsid w:val="00F110B9"/>
    <w:rsid w:val="00F112FD"/>
    <w:rsid w:val="00F11874"/>
    <w:rsid w:val="00F11CB9"/>
    <w:rsid w:val="00F1285A"/>
    <w:rsid w:val="00F1321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A3E"/>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E30"/>
    <w:rsid w:val="00F2747E"/>
    <w:rsid w:val="00F27BC6"/>
    <w:rsid w:val="00F27C34"/>
    <w:rsid w:val="00F27D0B"/>
    <w:rsid w:val="00F27E46"/>
    <w:rsid w:val="00F301C2"/>
    <w:rsid w:val="00F302E1"/>
    <w:rsid w:val="00F30C3A"/>
    <w:rsid w:val="00F30E5B"/>
    <w:rsid w:val="00F31217"/>
    <w:rsid w:val="00F312EF"/>
    <w:rsid w:val="00F3139E"/>
    <w:rsid w:val="00F314CB"/>
    <w:rsid w:val="00F3154C"/>
    <w:rsid w:val="00F31819"/>
    <w:rsid w:val="00F31B22"/>
    <w:rsid w:val="00F31B49"/>
    <w:rsid w:val="00F325AC"/>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078"/>
    <w:rsid w:val="00F364C3"/>
    <w:rsid w:val="00F366A5"/>
    <w:rsid w:val="00F36C5F"/>
    <w:rsid w:val="00F36E8C"/>
    <w:rsid w:val="00F37259"/>
    <w:rsid w:val="00F375D1"/>
    <w:rsid w:val="00F401A9"/>
    <w:rsid w:val="00F405A4"/>
    <w:rsid w:val="00F411D4"/>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7498"/>
    <w:rsid w:val="00F47FC1"/>
    <w:rsid w:val="00F5036E"/>
    <w:rsid w:val="00F505D9"/>
    <w:rsid w:val="00F512B2"/>
    <w:rsid w:val="00F5167B"/>
    <w:rsid w:val="00F51863"/>
    <w:rsid w:val="00F51A40"/>
    <w:rsid w:val="00F52506"/>
    <w:rsid w:val="00F5283D"/>
    <w:rsid w:val="00F52A01"/>
    <w:rsid w:val="00F52ABA"/>
    <w:rsid w:val="00F52BC7"/>
    <w:rsid w:val="00F52CBC"/>
    <w:rsid w:val="00F5335D"/>
    <w:rsid w:val="00F53524"/>
    <w:rsid w:val="00F537D9"/>
    <w:rsid w:val="00F53BF4"/>
    <w:rsid w:val="00F54266"/>
    <w:rsid w:val="00F54453"/>
    <w:rsid w:val="00F5499B"/>
    <w:rsid w:val="00F54B09"/>
    <w:rsid w:val="00F54B59"/>
    <w:rsid w:val="00F54F1A"/>
    <w:rsid w:val="00F5502A"/>
    <w:rsid w:val="00F55043"/>
    <w:rsid w:val="00F558BF"/>
    <w:rsid w:val="00F55BDE"/>
    <w:rsid w:val="00F560DD"/>
    <w:rsid w:val="00F561AC"/>
    <w:rsid w:val="00F56231"/>
    <w:rsid w:val="00F56C21"/>
    <w:rsid w:val="00F56DCF"/>
    <w:rsid w:val="00F57034"/>
    <w:rsid w:val="00F57D76"/>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F6"/>
    <w:rsid w:val="00F6754E"/>
    <w:rsid w:val="00F6783E"/>
    <w:rsid w:val="00F67D5C"/>
    <w:rsid w:val="00F7026D"/>
    <w:rsid w:val="00F7033F"/>
    <w:rsid w:val="00F70345"/>
    <w:rsid w:val="00F707E3"/>
    <w:rsid w:val="00F70BDF"/>
    <w:rsid w:val="00F70C5F"/>
    <w:rsid w:val="00F70DBE"/>
    <w:rsid w:val="00F71124"/>
    <w:rsid w:val="00F714FE"/>
    <w:rsid w:val="00F71888"/>
    <w:rsid w:val="00F719CD"/>
    <w:rsid w:val="00F71BB8"/>
    <w:rsid w:val="00F72584"/>
    <w:rsid w:val="00F7290D"/>
    <w:rsid w:val="00F72A10"/>
    <w:rsid w:val="00F72C94"/>
    <w:rsid w:val="00F72EFD"/>
    <w:rsid w:val="00F7302F"/>
    <w:rsid w:val="00F732EC"/>
    <w:rsid w:val="00F73D08"/>
    <w:rsid w:val="00F74CF4"/>
    <w:rsid w:val="00F74D34"/>
    <w:rsid w:val="00F75453"/>
    <w:rsid w:val="00F75671"/>
    <w:rsid w:val="00F756A4"/>
    <w:rsid w:val="00F7586B"/>
    <w:rsid w:val="00F75F2F"/>
    <w:rsid w:val="00F75F57"/>
    <w:rsid w:val="00F76124"/>
    <w:rsid w:val="00F763A0"/>
    <w:rsid w:val="00F76445"/>
    <w:rsid w:val="00F76C9A"/>
    <w:rsid w:val="00F76DCE"/>
    <w:rsid w:val="00F76E1A"/>
    <w:rsid w:val="00F76ECC"/>
    <w:rsid w:val="00F76FE8"/>
    <w:rsid w:val="00F77383"/>
    <w:rsid w:val="00F77813"/>
    <w:rsid w:val="00F77851"/>
    <w:rsid w:val="00F80039"/>
    <w:rsid w:val="00F80399"/>
    <w:rsid w:val="00F807E7"/>
    <w:rsid w:val="00F809CA"/>
    <w:rsid w:val="00F809CE"/>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879CB"/>
    <w:rsid w:val="00F90043"/>
    <w:rsid w:val="00F90086"/>
    <w:rsid w:val="00F9030E"/>
    <w:rsid w:val="00F90599"/>
    <w:rsid w:val="00F90ADB"/>
    <w:rsid w:val="00F90E6C"/>
    <w:rsid w:val="00F90E78"/>
    <w:rsid w:val="00F910D5"/>
    <w:rsid w:val="00F91209"/>
    <w:rsid w:val="00F9140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4E22"/>
    <w:rsid w:val="00F950B5"/>
    <w:rsid w:val="00F9513F"/>
    <w:rsid w:val="00F95518"/>
    <w:rsid w:val="00F956AC"/>
    <w:rsid w:val="00F95F80"/>
    <w:rsid w:val="00F9644B"/>
    <w:rsid w:val="00F978DA"/>
    <w:rsid w:val="00F97908"/>
    <w:rsid w:val="00F97B43"/>
    <w:rsid w:val="00F97E78"/>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7E"/>
    <w:rsid w:val="00FB4C9C"/>
    <w:rsid w:val="00FB4E66"/>
    <w:rsid w:val="00FB5D6D"/>
    <w:rsid w:val="00FB6165"/>
    <w:rsid w:val="00FB61F8"/>
    <w:rsid w:val="00FB62B4"/>
    <w:rsid w:val="00FB64D6"/>
    <w:rsid w:val="00FB6FDC"/>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C1"/>
    <w:rsid w:val="00FD1A97"/>
    <w:rsid w:val="00FD20FD"/>
    <w:rsid w:val="00FD2D7B"/>
    <w:rsid w:val="00FD2ECA"/>
    <w:rsid w:val="00FD3070"/>
    <w:rsid w:val="00FD37F6"/>
    <w:rsid w:val="00FD3EBB"/>
    <w:rsid w:val="00FD4589"/>
    <w:rsid w:val="00FD473E"/>
    <w:rsid w:val="00FD47E0"/>
    <w:rsid w:val="00FD4C09"/>
    <w:rsid w:val="00FD4D67"/>
    <w:rsid w:val="00FD5032"/>
    <w:rsid w:val="00FD626F"/>
    <w:rsid w:val="00FD6774"/>
    <w:rsid w:val="00FD6879"/>
    <w:rsid w:val="00FD6C57"/>
    <w:rsid w:val="00FD77B9"/>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9A"/>
    <w:rsid w:val="00FE4B1A"/>
    <w:rsid w:val="00FE4FC2"/>
    <w:rsid w:val="00FE5205"/>
    <w:rsid w:val="00FE5953"/>
    <w:rsid w:val="00FE5F34"/>
    <w:rsid w:val="00FE6031"/>
    <w:rsid w:val="00FE67CF"/>
    <w:rsid w:val="00FE6D20"/>
    <w:rsid w:val="00FE6FB9"/>
    <w:rsid w:val="00FE70BE"/>
    <w:rsid w:val="00FE7157"/>
    <w:rsid w:val="00FE7390"/>
    <w:rsid w:val="00FE7549"/>
    <w:rsid w:val="00FE7BCC"/>
    <w:rsid w:val="00FE7C2F"/>
    <w:rsid w:val="00FE7E5D"/>
    <w:rsid w:val="00FF0355"/>
    <w:rsid w:val="00FF047C"/>
    <w:rsid w:val="00FF04F3"/>
    <w:rsid w:val="00FF0F73"/>
    <w:rsid w:val="00FF1225"/>
    <w:rsid w:val="00FF126D"/>
    <w:rsid w:val="00FF131B"/>
    <w:rsid w:val="00FF1898"/>
    <w:rsid w:val="00FF1B0A"/>
    <w:rsid w:val="00FF1D9F"/>
    <w:rsid w:val="00FF2310"/>
    <w:rsid w:val="00FF2E73"/>
    <w:rsid w:val="00FF3538"/>
    <w:rsid w:val="00FF389D"/>
    <w:rsid w:val="00FF3918"/>
    <w:rsid w:val="00FF412D"/>
    <w:rsid w:val="00FF4384"/>
    <w:rsid w:val="00FF4AE2"/>
    <w:rsid w:val="00FF4B89"/>
    <w:rsid w:val="00FF50A8"/>
    <w:rsid w:val="00FF52E2"/>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9B1C2E13-8D75-4AB9-AD4B-5944E21BA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w:link w:val="af"/>
    <w:uiPriority w:val="34"/>
    <w:qFormat/>
    <w:rsid w:val="003B07F5"/>
    <w:rPr>
      <w:sz w:val="22"/>
      <w:szCs w:val="22"/>
      <w:lang w:eastAsia="en-US"/>
    </w:rPr>
  </w:style>
  <w:style w:type="paragraph" w:customStyle="1" w:styleId="TdocHeader2">
    <w:name w:val="Tdoc_Header_2"/>
    <w:basedOn w:val="a"/>
    <w:rsid w:val="008559C6"/>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bullet">
    <w:name w:val="bullet"/>
    <w:basedOn w:val="af"/>
    <w:link w:val="bulletChar"/>
    <w:qFormat/>
    <w:rsid w:val="00CC09CB"/>
    <w:pPr>
      <w:numPr>
        <w:numId w:val="17"/>
      </w:numPr>
      <w:autoSpaceDE/>
      <w:autoSpaceDN/>
      <w:adjustRightInd/>
      <w:snapToGrid/>
      <w:spacing w:after="0"/>
      <w:ind w:firstLineChars="0" w:firstLine="0"/>
      <w:contextualSpacing/>
      <w:jc w:val="left"/>
    </w:pPr>
    <w:rPr>
      <w:rFonts w:eastAsia="Times New Roman"/>
      <w:sz w:val="20"/>
      <w:szCs w:val="24"/>
    </w:rPr>
  </w:style>
  <w:style w:type="character" w:customStyle="1" w:styleId="bulletChar">
    <w:name w:val="bullet Char"/>
    <w:link w:val="bullet"/>
    <w:rsid w:val="00CC09CB"/>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851419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5052579">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627816">
      <w:bodyDiv w:val="1"/>
      <w:marLeft w:val="0"/>
      <w:marRight w:val="0"/>
      <w:marTop w:val="0"/>
      <w:marBottom w:val="0"/>
      <w:divBdr>
        <w:top w:val="none" w:sz="0" w:space="0" w:color="auto"/>
        <w:left w:val="none" w:sz="0" w:space="0" w:color="auto"/>
        <w:bottom w:val="none" w:sz="0" w:space="0" w:color="auto"/>
        <w:right w:val="none" w:sz="0" w:space="0" w:color="auto"/>
      </w:divBdr>
      <w:divsChild>
        <w:div w:id="848106180">
          <w:marLeft w:val="547"/>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160895">
      <w:bodyDiv w:val="1"/>
      <w:marLeft w:val="0"/>
      <w:marRight w:val="0"/>
      <w:marTop w:val="0"/>
      <w:marBottom w:val="0"/>
      <w:divBdr>
        <w:top w:val="none" w:sz="0" w:space="0" w:color="auto"/>
        <w:left w:val="none" w:sz="0" w:space="0" w:color="auto"/>
        <w:bottom w:val="none" w:sz="0" w:space="0" w:color="auto"/>
        <w:right w:val="none" w:sz="0" w:space="0" w:color="auto"/>
      </w:divBdr>
      <w:divsChild>
        <w:div w:id="1130825738">
          <w:marLeft w:val="0"/>
          <w:marRight w:val="0"/>
          <w:marTop w:val="0"/>
          <w:marBottom w:val="0"/>
          <w:divBdr>
            <w:top w:val="none" w:sz="0" w:space="0" w:color="auto"/>
            <w:left w:val="none" w:sz="0" w:space="0" w:color="auto"/>
            <w:bottom w:val="none" w:sz="0" w:space="0" w:color="auto"/>
            <w:right w:val="none" w:sz="0" w:space="0" w:color="auto"/>
          </w:divBdr>
          <w:divsChild>
            <w:div w:id="1602882642">
              <w:marLeft w:val="0"/>
              <w:marRight w:val="0"/>
              <w:marTop w:val="0"/>
              <w:marBottom w:val="0"/>
              <w:divBdr>
                <w:top w:val="none" w:sz="0" w:space="0" w:color="auto"/>
                <w:left w:val="none" w:sz="0" w:space="0" w:color="auto"/>
                <w:bottom w:val="none" w:sz="0" w:space="0" w:color="auto"/>
                <w:right w:val="none" w:sz="0" w:space="0" w:color="auto"/>
              </w:divBdr>
              <w:divsChild>
                <w:div w:id="1495993717">
                  <w:marLeft w:val="0"/>
                  <w:marRight w:val="0"/>
                  <w:marTop w:val="0"/>
                  <w:marBottom w:val="0"/>
                  <w:divBdr>
                    <w:top w:val="single" w:sz="6" w:space="8" w:color="4395FF"/>
                    <w:left w:val="single" w:sz="6" w:space="8" w:color="4395FF"/>
                    <w:bottom w:val="single" w:sz="6" w:space="30" w:color="4395FF"/>
                    <w:right w:val="single" w:sz="6" w:space="8" w:color="4395FF"/>
                  </w:divBdr>
                  <w:divsChild>
                    <w:div w:id="113360216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26324126">
          <w:marLeft w:val="0"/>
          <w:marRight w:val="0"/>
          <w:marTop w:val="0"/>
          <w:marBottom w:val="0"/>
          <w:divBdr>
            <w:top w:val="none" w:sz="0" w:space="0" w:color="auto"/>
            <w:left w:val="none" w:sz="0" w:space="0" w:color="auto"/>
            <w:bottom w:val="none" w:sz="0" w:space="0" w:color="auto"/>
            <w:right w:val="none" w:sz="0" w:space="0" w:color="auto"/>
          </w:divBdr>
          <w:divsChild>
            <w:div w:id="1082606140">
              <w:marLeft w:val="0"/>
              <w:marRight w:val="0"/>
              <w:marTop w:val="0"/>
              <w:marBottom w:val="0"/>
              <w:divBdr>
                <w:top w:val="none" w:sz="0" w:space="0" w:color="auto"/>
                <w:left w:val="none" w:sz="0" w:space="0" w:color="auto"/>
                <w:bottom w:val="none" w:sz="0" w:space="0" w:color="auto"/>
                <w:right w:val="none" w:sz="0" w:space="0" w:color="auto"/>
              </w:divBdr>
              <w:divsChild>
                <w:div w:id="1433555195">
                  <w:marLeft w:val="0"/>
                  <w:marRight w:val="0"/>
                  <w:marTop w:val="0"/>
                  <w:marBottom w:val="0"/>
                  <w:divBdr>
                    <w:top w:val="single" w:sz="6" w:space="8" w:color="EEEEEE"/>
                    <w:left w:val="none" w:sz="0" w:space="8" w:color="auto"/>
                    <w:bottom w:val="single" w:sz="6" w:space="8" w:color="EEEEEE"/>
                    <w:right w:val="single" w:sz="6" w:space="8" w:color="EEEEEE"/>
                  </w:divBdr>
                  <w:divsChild>
                    <w:div w:id="179000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BCD21-BEFC-49BD-94C4-532005254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2372</Words>
  <Characters>13522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Microsoft</cp:lastModifiedBy>
  <cp:revision>7</cp:revision>
  <cp:lastPrinted>2015-03-27T14:25:00Z</cp:lastPrinted>
  <dcterms:created xsi:type="dcterms:W3CDTF">2017-11-17T07:17:00Z</dcterms:created>
  <dcterms:modified xsi:type="dcterms:W3CDTF">2017-11-17T08:08:00Z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